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367" w:rsidRDefault="00096367" w:rsidP="00096367">
      <w:pPr>
        <w:pStyle w:val="afffffe"/>
        <w:framePr w:wrap="around"/>
      </w:pPr>
      <w:r w:rsidRPr="00096367">
        <w:rPr>
          <w:rFonts w:ascii="Times New Roman"/>
        </w:rPr>
        <w:t>ICS</w:t>
      </w:r>
      <w:r>
        <w:rPr>
          <w:rFonts w:hAnsi="黑体"/>
        </w:rPr>
        <w:t> </w:t>
      </w:r>
      <w:r>
        <w:fldChar w:fldCharType="begin">
          <w:ffData>
            <w:name w:val="ICS"/>
            <w:enabled/>
            <w:calcOnExit w:val="0"/>
            <w:helpText w:type="autoText" w:val="请输入正确的ICS号："/>
            <w:textInput>
              <w:default w:val="点击此处添加ICS号"/>
            </w:textInput>
          </w:ffData>
        </w:fldChar>
      </w:r>
      <w:bookmarkStart w:id="0" w:name="ICS"/>
      <w:r>
        <w:instrText xml:space="preserve"> FORMTEXT </w:instrText>
      </w:r>
      <w:r>
        <w:fldChar w:fldCharType="separate"/>
      </w:r>
      <w:r w:rsidRPr="00096367">
        <w:t xml:space="preserve">25.040.40 </w:t>
      </w:r>
      <w:r>
        <w:fldChar w:fldCharType="end"/>
      </w:r>
      <w:bookmarkEnd w:id="0"/>
    </w:p>
    <w:p w:rsidR="00096367" w:rsidRDefault="00096367" w:rsidP="00096367">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bookmarkStart w:id="1" w:name="WXFLH"/>
      <w:r>
        <w:instrText xml:space="preserve"> FORMTEXT </w:instrText>
      </w:r>
      <w:r>
        <w:fldChar w:fldCharType="separate"/>
      </w:r>
      <w:r w:rsidRPr="00096367">
        <w:t xml:space="preserve">CCS N10 </w:t>
      </w:r>
      <w:r>
        <w:fldChar w:fldCharType="end"/>
      </w:r>
      <w:bookmarkEnd w:id="1"/>
    </w:p>
    <w:tbl>
      <w:tblPr>
        <w:tblStyle w:val="afffffa"/>
        <w:tblW w:w="0" w:type="auto"/>
        <w:tblLook w:val="04A0" w:firstRow="1" w:lastRow="0" w:firstColumn="1" w:lastColumn="0" w:noHBand="0" w:noVBand="1"/>
      </w:tblPr>
      <w:tblGrid>
        <w:gridCol w:w="9854"/>
      </w:tblGrid>
      <w:tr w:rsidR="00096367" w:rsidTr="00096367">
        <w:tc>
          <w:tcPr>
            <w:tcW w:w="9854" w:type="dxa"/>
            <w:tcBorders>
              <w:top w:val="nil"/>
              <w:left w:val="nil"/>
              <w:bottom w:val="nil"/>
              <w:right w:val="nil"/>
            </w:tcBorders>
            <w:shd w:val="clear" w:color="auto" w:fill="auto"/>
          </w:tcPr>
          <w:p w:rsidR="00096367" w:rsidRDefault="004A59DD" w:rsidP="00096367">
            <w:pPr>
              <w:pStyle w:val="afffffe"/>
              <w:framePr w:wrap="around"/>
            </w:pPr>
            <w:r>
              <w:rPr>
                <w:noProof/>
              </w:rPr>
              <mc:AlternateContent>
                <mc:Choice Requires="wps">
                  <w:drawing>
                    <wp:anchor distT="0" distB="0" distL="114300" distR="114300" simplePos="0" relativeHeight="251663360" behindDoc="1" locked="0" layoutInCell="1" allowOverlap="1" wp14:anchorId="7B449992" wp14:editId="5EB8753E">
                      <wp:simplePos x="0" y="0"/>
                      <wp:positionH relativeFrom="column">
                        <wp:posOffset>-66675</wp:posOffset>
                      </wp:positionH>
                      <wp:positionV relativeFrom="paragraph">
                        <wp:posOffset>0</wp:posOffset>
                      </wp:positionV>
                      <wp:extent cx="866775" cy="198120"/>
                      <wp:effectExtent l="0" t="3810" r="4445" b="0"/>
                      <wp:wrapNone/>
                      <wp:docPr id="901658985"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BAH" o:spid="_x0000_s1026" style="position:absolute;left:0;text-align:left;margin-left:-5.25pt;margin-top:0;width:68.25pt;height:15.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" stroked="f"/>
                  </w:pict>
                </mc:Fallback>
              </mc:AlternateContent>
            </w:r>
            <w:r w:rsidR="00096367">
              <w:fldChar w:fldCharType="begin">
                <w:ffData>
                  <w:name w:val="BAH"/>
                  <w:enabled/>
                  <w:calcOnExit w:val="0"/>
                  <w:textInput/>
                </w:ffData>
              </w:fldChar>
            </w:r>
            <w:bookmarkStart w:id="2" w:name="BAH"/>
            <w:r w:rsidR="00096367">
              <w:instrText xml:space="preserve"> </w:instrText>
            </w:r>
            <w:r w:rsidR="00096367">
              <w:rPr>
                <w:rFonts w:hint="eastAsia"/>
              </w:rPr>
              <w:instrText>FORMTEXT</w:instrText>
            </w:r>
            <w:r w:rsidR="00096367">
              <w:instrText xml:space="preserve"> </w:instrText>
            </w:r>
            <w:r w:rsidR="00096367">
              <w:fldChar w:fldCharType="separate"/>
            </w:r>
            <w:r w:rsidR="004923E4">
              <w:rPr>
                <w:rFonts w:hint="eastAsia"/>
              </w:rPr>
              <w:t>备案号：</w:t>
            </w:r>
            <w:r w:rsidR="00096367">
              <w:fldChar w:fldCharType="end"/>
            </w:r>
            <w:bookmarkEnd w:id="2"/>
          </w:p>
        </w:tc>
      </w:tr>
    </w:tbl>
    <w:p w:rsidR="00096367" w:rsidRPr="00096367" w:rsidRDefault="00096367" w:rsidP="00096367">
      <w:pPr>
        <w:pStyle w:val="affffc"/>
        <w:framePr w:wrap="around"/>
      </w:pPr>
      <w:r>
        <w:t>D</w:t>
      </w:r>
      <w:r w:rsidRPr="00096367">
        <w:rPr>
          <w:spacing w:val="100"/>
        </w:rPr>
        <w:t>B</w:t>
      </w:r>
      <w:r>
        <w:fldChar w:fldCharType="begin">
          <w:ffData>
            <w:name w:val="c3"/>
            <w:enabled/>
            <w:calcOnExit w:val="0"/>
            <w:entryMacro w:val="ShowHelp16"/>
            <w:textInput/>
          </w:ffData>
        </w:fldChar>
      </w:r>
      <w:bookmarkStart w:id="3" w:name="c3"/>
      <w:r>
        <w:instrText xml:space="preserve"> FORMTEXT </w:instrText>
      </w:r>
      <w:r>
        <w:fldChar w:fldCharType="separate"/>
      </w:r>
      <w:r>
        <w:t>32</w:t>
      </w:r>
      <w:r>
        <w:fldChar w:fldCharType="end"/>
      </w:r>
      <w:bookmarkEnd w:id="3"/>
    </w:p>
    <w:p w:rsidR="00096367" w:rsidRDefault="00096367" w:rsidP="00096367">
      <w:pPr>
        <w:pStyle w:val="affffd"/>
        <w:framePr w:wrap="around"/>
      </w:pPr>
      <w:r>
        <w:fldChar w:fldCharType="begin">
          <w:ffData>
            <w:name w:val="c4"/>
            <w:enabled/>
            <w:calcOnExit w:val="0"/>
            <w:entryMacro w:val="showhelp12"/>
            <w:textInput/>
          </w:ffData>
        </w:fldChar>
      </w:r>
      <w:bookmarkStart w:id="4" w:name="c4"/>
      <w:r>
        <w:instrText xml:space="preserve"> FORMTEXT </w:instrText>
      </w:r>
      <w:r>
        <w:fldChar w:fldCharType="separate"/>
      </w:r>
      <w:r>
        <w:rPr>
          <w:rFonts w:hint="eastAsia"/>
        </w:rPr>
        <w:t>江苏省</w:t>
      </w:r>
      <w:r>
        <w:fldChar w:fldCharType="end"/>
      </w:r>
      <w:bookmarkEnd w:id="4"/>
      <w:r>
        <w:t>地方标准</w:t>
      </w:r>
    </w:p>
    <w:p w:rsidR="00096367" w:rsidRDefault="00096367" w:rsidP="00096367">
      <w:pPr>
        <w:pStyle w:val="2"/>
        <w:framePr w:wrap="around"/>
        <w:rPr>
          <w:rFonts w:hAnsi="黑体"/>
        </w:rPr>
      </w:pPr>
      <w:r w:rsidRPr="00096367">
        <w:rPr>
          <w:rFonts w:ascii="Times New Roman"/>
        </w:rPr>
        <w:t xml:space="preserve">DB </w:t>
      </w:r>
      <w:r>
        <w:rPr>
          <w:rFonts w:hAnsi="黑体"/>
        </w:rPr>
        <w:fldChar w:fldCharType="begin">
          <w:ffData>
            <w:name w:val="StdNo0"/>
            <w:enabled/>
            <w:calcOnExit w:val="0"/>
            <w:textInput>
              <w:default w:val="××/T"/>
            </w:textInput>
          </w:ffData>
        </w:fldChar>
      </w:r>
      <w:bookmarkStart w:id="5" w:name="StdNo0"/>
      <w:r>
        <w:rPr>
          <w:rFonts w:hAnsi="黑体"/>
        </w:rPr>
        <w:instrText xml:space="preserve"> FORMTEXT </w:instrText>
      </w:r>
      <w:r>
        <w:rPr>
          <w:rFonts w:hAnsi="黑体"/>
        </w:rPr>
      </w:r>
      <w:r>
        <w:rPr>
          <w:rFonts w:hAnsi="黑体"/>
        </w:rPr>
        <w:fldChar w:fldCharType="separate"/>
      </w:r>
      <w:r>
        <w:rPr>
          <w:rFonts w:hAnsi="黑体"/>
        </w:rPr>
        <w:t>32</w:t>
      </w:r>
      <w:r w:rsidRPr="00096367">
        <w:rPr>
          <w:rFonts w:ascii="Times New Roman"/>
        </w:rPr>
        <w:t>/T</w:t>
      </w:r>
      <w:r>
        <w:rPr>
          <w:rFonts w:hAnsi="黑体"/>
        </w:rPr>
        <w:fldChar w:fldCharType="end"/>
      </w:r>
      <w:bookmarkEnd w:id="5"/>
      <w:r>
        <w:rPr>
          <w:rFonts w:hAnsi="黑体"/>
        </w:rPr>
        <w:t xml:space="preserve"> </w:t>
      </w:r>
      <w:r>
        <w:rPr>
          <w:rFonts w:hAnsi="黑体"/>
        </w:rPr>
        <w:fldChar w:fldCharType="begin">
          <w:ffData>
            <w:name w:val="StdNo1"/>
            <w:enabled/>
            <w:calcOnExit w:val="0"/>
            <w:textInput>
              <w:default w:val="××××"/>
            </w:textInput>
          </w:ffData>
        </w:fldChar>
      </w:r>
      <w:bookmarkStart w:id="6" w:name="StdNo1"/>
      <w:r>
        <w:rPr>
          <w:rFonts w:hAnsi="黑体"/>
        </w:rPr>
        <w:instrText xml:space="preserve"> FORMTEXT </w:instrText>
      </w:r>
      <w:r>
        <w:rPr>
          <w:rFonts w:hAnsi="黑体"/>
        </w:rPr>
      </w:r>
      <w:r>
        <w:rPr>
          <w:rFonts w:hAnsi="黑体"/>
        </w:rPr>
        <w:fldChar w:fldCharType="separate"/>
      </w:r>
      <w:r>
        <w:rPr>
          <w:rFonts w:hAnsi="黑体"/>
          <w:noProof/>
        </w:rPr>
        <w:t>××××</w:t>
      </w:r>
      <w:r>
        <w:rPr>
          <w:rFonts w:hAnsi="黑体"/>
        </w:rPr>
        <w:fldChar w:fldCharType="end"/>
      </w:r>
      <w:bookmarkEnd w:id="6"/>
      <w:r>
        <w:rPr>
          <w:rFonts w:hAnsi="黑体"/>
        </w:rPr>
        <w:t>—</w:t>
      </w:r>
      <w:r>
        <w:rPr>
          <w:rFonts w:hAnsi="黑体"/>
        </w:rPr>
        <w:fldChar w:fldCharType="begin">
          <w:ffData>
            <w:name w:val="StdNo2"/>
            <w:enabled/>
            <w:calcOnExit w:val="0"/>
            <w:textInput>
              <w:default w:val="××××"/>
              <w:maxLength w:val="4"/>
            </w:textInput>
          </w:ffData>
        </w:fldChar>
      </w:r>
      <w:bookmarkStart w:id="7" w:name="StdNo2"/>
      <w:r>
        <w:rPr>
          <w:rFonts w:hAnsi="黑体"/>
        </w:rPr>
        <w:instrText xml:space="preserve"> FORMTEXT </w:instrText>
      </w:r>
      <w:r>
        <w:rPr>
          <w:rFonts w:hAnsi="黑体"/>
        </w:rPr>
      </w:r>
      <w:r>
        <w:rPr>
          <w:rFonts w:hAnsi="黑体"/>
        </w:rPr>
        <w:fldChar w:fldCharType="separate"/>
      </w:r>
      <w:r>
        <w:rPr>
          <w:rFonts w:hAnsi="黑体"/>
          <w:noProof/>
        </w:rPr>
        <w:t>××××</w:t>
      </w:r>
      <w:r>
        <w:rPr>
          <w:rFonts w:hAnsi="黑体"/>
        </w:rPr>
        <w:fldChar w:fldCharType="end"/>
      </w:r>
      <w:bookmarkEnd w:id="7"/>
    </w:p>
    <w:tbl>
      <w:tblPr>
        <w:tblStyle w:val="afffffa"/>
        <w:tblW w:w="0" w:type="auto"/>
        <w:tblLook w:val="04A0" w:firstRow="1" w:lastRow="0" w:firstColumn="1" w:lastColumn="0" w:noHBand="0" w:noVBand="1"/>
      </w:tblPr>
      <w:tblGrid>
        <w:gridCol w:w="9356"/>
      </w:tblGrid>
      <w:tr w:rsidR="00096367" w:rsidTr="00096367">
        <w:tc>
          <w:tcPr>
            <w:tcW w:w="9356" w:type="dxa"/>
            <w:tcBorders>
              <w:top w:val="nil"/>
              <w:left w:val="nil"/>
              <w:bottom w:val="nil"/>
              <w:right w:val="nil"/>
            </w:tcBorders>
            <w:shd w:val="clear" w:color="auto" w:fill="auto"/>
          </w:tcPr>
          <w:p w:rsidR="00096367" w:rsidRDefault="004A59DD" w:rsidP="00096367">
            <w:pPr>
              <w:pStyle w:val="afff9"/>
              <w:framePr w:wrap="around"/>
            </w:pPr>
            <w:r>
              <w:rPr>
                <w:noProof/>
              </w:rPr>
              <mc:AlternateContent>
                <mc:Choice Requires="wps">
                  <w:drawing>
                    <wp:anchor distT="0" distB="0" distL="114300" distR="114300" simplePos="0" relativeHeight="251660288" behindDoc="1" locked="0" layoutInCell="1" allowOverlap="1" wp14:anchorId="345B00E3" wp14:editId="5BE9FAB3">
                      <wp:simplePos x="0" y="0"/>
                      <wp:positionH relativeFrom="column">
                        <wp:posOffset>4734560</wp:posOffset>
                      </wp:positionH>
                      <wp:positionV relativeFrom="paragraph">
                        <wp:posOffset>34290</wp:posOffset>
                      </wp:positionV>
                      <wp:extent cx="1143000" cy="228600"/>
                      <wp:effectExtent l="0" t="0" r="3175" b="0"/>
                      <wp:wrapNone/>
                      <wp:docPr id="743852938"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T" o:spid="_x0000_s1026" style="position:absolute;left:0;text-align:left;margin-left:372.8pt;margin-top:2.7pt;width:90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" stroked="f"/>
                  </w:pict>
                </mc:Fallback>
              </mc:AlternateContent>
            </w:r>
            <w:r w:rsidR="00096367">
              <w:fldChar w:fldCharType="begin">
                <w:ffData>
                  <w:name w:val="DT"/>
                  <w:enabled/>
                  <w:calcOnExit w:val="0"/>
                  <w:entryMacro w:val="ShowHelp4"/>
                  <w:textInput/>
                </w:ffData>
              </w:fldChar>
            </w:r>
            <w:bookmarkStart w:id="8" w:name="DT"/>
            <w:r w:rsidR="00096367">
              <w:instrText xml:space="preserve"> FORMTEXT </w:instrText>
            </w:r>
            <w:r w:rsidR="00096367">
              <w:fldChar w:fldCharType="separate"/>
            </w:r>
            <w:r>
              <w:t> </w:t>
            </w:r>
            <w:r>
              <w:t> </w:t>
            </w:r>
            <w:r>
              <w:t> </w:t>
            </w:r>
            <w:r>
              <w:t> </w:t>
            </w:r>
            <w:r>
              <w:t> </w:t>
            </w:r>
            <w:r w:rsidR="00096367">
              <w:fldChar w:fldCharType="end"/>
            </w:r>
            <w:bookmarkEnd w:id="8"/>
          </w:p>
        </w:tc>
      </w:tr>
    </w:tbl>
    <w:p w:rsidR="00096367" w:rsidRDefault="00096367" w:rsidP="00096367">
      <w:pPr>
        <w:pStyle w:val="2"/>
        <w:framePr w:wrap="around"/>
        <w:rPr>
          <w:rFonts w:hAnsi="黑体"/>
        </w:rPr>
      </w:pPr>
    </w:p>
    <w:p w:rsidR="00096367" w:rsidRDefault="00096367" w:rsidP="00096367">
      <w:pPr>
        <w:pStyle w:val="2"/>
        <w:framePr w:wrap="around"/>
        <w:rPr>
          <w:rFonts w:hAnsi="黑体"/>
        </w:rPr>
      </w:pPr>
    </w:p>
    <w:p w:rsidR="00096367" w:rsidRDefault="00096367" w:rsidP="00096367">
      <w:pPr>
        <w:pStyle w:val="afffa"/>
        <w:framePr w:wrap="around"/>
      </w:pPr>
      <w:r>
        <w:fldChar w:fldCharType="begin">
          <w:ffData>
            <w:name w:val="StdName"/>
            <w:enabled/>
            <w:calcOnExit w:val="0"/>
            <w:textInput>
              <w:default w:val="点击此处添加标准名称"/>
            </w:textInput>
          </w:ffData>
        </w:fldChar>
      </w:r>
      <w:bookmarkStart w:id="9" w:name="StdName"/>
      <w:r>
        <w:instrText xml:space="preserve"> FORMTEXT </w:instrText>
      </w:r>
      <w:r>
        <w:fldChar w:fldCharType="separate"/>
      </w:r>
      <w:r w:rsidR="008946F6">
        <w:rPr>
          <w:rFonts w:hint="eastAsia"/>
        </w:rPr>
        <w:t>重点化工企业全流程自动化控制配备和提升规范</w:t>
      </w:r>
      <w:r>
        <w:fldChar w:fldCharType="end"/>
      </w:r>
      <w:bookmarkEnd w:id="9"/>
    </w:p>
    <w:p w:rsidR="00096367" w:rsidRDefault="00096367" w:rsidP="00096367">
      <w:pPr>
        <w:pStyle w:val="afffb"/>
        <w:framePr w:wrap="around"/>
      </w:pPr>
      <w:r>
        <w:fldChar w:fldCharType="begin">
          <w:ffData>
            <w:name w:val="StdEnglishName"/>
            <w:enabled/>
            <w:calcOnExit w:val="0"/>
            <w:textInput>
              <w:default w:val="点击此处添加标准英文译名"/>
            </w:textInput>
          </w:ffData>
        </w:fldChar>
      </w:r>
      <w:bookmarkStart w:id="10" w:name="StdEnglishName"/>
      <w:r>
        <w:instrText xml:space="preserve"> FORMTEXT </w:instrText>
      </w:r>
      <w:r>
        <w:fldChar w:fldCharType="separate"/>
      </w:r>
      <w:r>
        <w:rPr>
          <w:rFonts w:hint="eastAsia"/>
        </w:rPr>
        <w:t>S</w:t>
      </w:r>
      <w:r w:rsidRPr="00096367">
        <w:t>pecification for allocation and improvement of full process automation control in key chemical enterprises</w:t>
      </w:r>
      <w:r>
        <w:fldChar w:fldCharType="end"/>
      </w:r>
      <w:bookmarkEnd w:id="10"/>
    </w:p>
    <w:p w:rsidR="00096367" w:rsidRPr="00096367" w:rsidRDefault="00096367" w:rsidP="00096367">
      <w:pPr>
        <w:pStyle w:val="afffc"/>
        <w:framePr w:wrap="around"/>
      </w:pPr>
      <w:r>
        <w:fldChar w:fldCharType="begin">
          <w:ffData>
            <w:name w:val="YZBS"/>
            <w:enabled/>
            <w:calcOnExit w:val="0"/>
            <w:textInput>
              <w:default w:val="点击此处添加与国际标准一致性程度的标识"/>
            </w:textInput>
          </w:ffData>
        </w:fldChar>
      </w:r>
      <w:bookmarkStart w:id="11" w:name="YZBS"/>
      <w:r>
        <w:instrText xml:space="preserve"> FORMTEXT </w:instrText>
      </w:r>
      <w:r>
        <w:fldChar w:fldCharType="separate"/>
      </w:r>
      <w:r w:rsidR="00476A92">
        <w:rPr>
          <w:rFonts w:hint="eastAsia"/>
        </w:rPr>
        <w:t>点击此处添加与国际标准一致性程度的标识</w:t>
      </w:r>
      <w:r>
        <w:fldChar w:fldCharType="end"/>
      </w:r>
      <w:bookmarkEnd w:id="11"/>
    </w:p>
    <w:tbl>
      <w:tblPr>
        <w:tblStyle w:val="afffffa"/>
        <w:tblW w:w="0" w:type="auto"/>
        <w:tblLook w:val="04A0" w:firstRow="1" w:lastRow="0" w:firstColumn="1" w:lastColumn="0" w:noHBand="0" w:noVBand="1"/>
      </w:tblPr>
      <w:tblGrid>
        <w:gridCol w:w="9855"/>
      </w:tblGrid>
      <w:tr w:rsidR="00096367" w:rsidTr="00096367">
        <w:tc>
          <w:tcPr>
            <w:tcW w:w="9855" w:type="dxa"/>
            <w:tcBorders>
              <w:top w:val="nil"/>
              <w:left w:val="nil"/>
              <w:bottom w:val="nil"/>
              <w:right w:val="nil"/>
            </w:tcBorders>
            <w:shd w:val="clear" w:color="auto" w:fill="auto"/>
          </w:tcPr>
          <w:p w:rsidR="00096367" w:rsidRDefault="004A59DD" w:rsidP="00096367">
            <w:pPr>
              <w:pStyle w:val="afffd"/>
              <w:framePr w:wrap="around"/>
            </w:pPr>
            <w:r>
              <w:rPr>
                <w:noProof/>
              </w:rPr>
              <mc:AlternateContent>
                <mc:Choice Requires="wps">
                  <w:drawing>
                    <wp:anchor distT="0" distB="0" distL="114300" distR="114300" simplePos="0" relativeHeight="251662336" behindDoc="1" locked="1" layoutInCell="1" allowOverlap="1" wp14:anchorId="2383C186" wp14:editId="732FD541">
                      <wp:simplePos x="0" y="0"/>
                      <wp:positionH relativeFrom="column">
                        <wp:posOffset>2200910</wp:posOffset>
                      </wp:positionH>
                      <wp:positionV relativeFrom="paragraph">
                        <wp:posOffset>573405</wp:posOffset>
                      </wp:positionV>
                      <wp:extent cx="1905000" cy="254000"/>
                      <wp:effectExtent l="0" t="0" r="3175" b="3175"/>
                      <wp:wrapNone/>
                      <wp:docPr id="590826289"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Q" o:spid="_x0000_s1026" style="position:absolute;left:0;text-align:left;margin-left:173.3pt;margin-top:45.15pt;width:150pt;height:20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" stroked="f">
                      <w10:anchorlock/>
                    </v:rect>
                  </w:pict>
                </mc:Fallback>
              </mc:AlternateContent>
            </w:r>
            <w:r>
              <w:rPr>
                <w:noProof/>
              </w:rPr>
              <mc:AlternateContent>
                <mc:Choice Requires="wps">
                  <w:drawing>
                    <wp:anchor distT="0" distB="0" distL="114300" distR="114300" simplePos="0" relativeHeight="251661312" behindDoc="1" locked="0" layoutInCell="1" allowOverlap="1" wp14:anchorId="3B523ED4" wp14:editId="3F0F355B">
                      <wp:simplePos x="0" y="0"/>
                      <wp:positionH relativeFrom="column">
                        <wp:posOffset>2454910</wp:posOffset>
                      </wp:positionH>
                      <wp:positionV relativeFrom="paragraph">
                        <wp:posOffset>255905</wp:posOffset>
                      </wp:positionV>
                      <wp:extent cx="1270000" cy="304800"/>
                      <wp:effectExtent l="3175" t="0" r="3175" b="3175"/>
                      <wp:wrapNone/>
                      <wp:docPr id="585932090"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LB" o:spid="_x0000_s1026" style="position:absolute;left:0;text-align:left;margin-left:193.3pt;margin-top:20.15pt;width:100pt;height:2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" stroked="f"/>
                  </w:pict>
                </mc:Fallback>
              </mc:AlternateContent>
            </w:r>
            <w:r w:rsidR="00096367">
              <w:fldChar w:fldCharType="begin">
                <w:ffData>
                  <w:name w:val="LB"/>
                  <w:enabled/>
                  <w:calcOnExit w:val="0"/>
                  <w:ddList>
                    <w:result w:val="5"/>
                    <w:listEntry w:val="文稿版次选择"/>
                    <w:listEntry w:val="（工作组讨论稿）"/>
                    <w:listEntry w:val="（征求意见稿）"/>
                    <w:listEntry w:val="（送审讨论稿）"/>
                    <w:listEntry w:val="（送审稿）"/>
                    <w:listEntry w:val="（报批稿）"/>
                  </w:ddList>
                </w:ffData>
              </w:fldChar>
            </w:r>
            <w:bookmarkStart w:id="12" w:name="LB"/>
            <w:r w:rsidR="00096367">
              <w:instrText xml:space="preserve"> </w:instrText>
            </w:r>
            <w:r w:rsidR="00096367">
              <w:rPr>
                <w:rFonts w:hint="eastAsia"/>
              </w:rPr>
              <w:instrText>FORMDROPDOWN</w:instrText>
            </w:r>
            <w:r w:rsidR="00096367">
              <w:instrText xml:space="preserve"> </w:instrText>
            </w:r>
            <w:r w:rsidR="00C15DA2">
              <w:fldChar w:fldCharType="separate"/>
            </w:r>
            <w:r w:rsidR="00096367">
              <w:fldChar w:fldCharType="end"/>
            </w:r>
            <w:bookmarkEnd w:id="12"/>
          </w:p>
        </w:tc>
      </w:tr>
      <w:tr w:rsidR="00096367" w:rsidTr="00096367">
        <w:tc>
          <w:tcPr>
            <w:tcW w:w="9855" w:type="dxa"/>
            <w:tcBorders>
              <w:top w:val="nil"/>
              <w:left w:val="nil"/>
              <w:bottom w:val="nil"/>
              <w:right w:val="nil"/>
            </w:tcBorders>
            <w:shd w:val="clear" w:color="auto" w:fill="auto"/>
          </w:tcPr>
          <w:p w:rsidR="00096367" w:rsidRDefault="00096367" w:rsidP="00096367">
            <w:pPr>
              <w:pStyle w:val="afffe"/>
              <w:framePr w:wrap="around"/>
            </w:pPr>
            <w:r>
              <w:fldChar w:fldCharType="begin">
                <w:ffData>
                  <w:name w:val="WCRQ"/>
                  <w:enabled/>
                  <w:calcOnExit w:val="0"/>
                  <w:textInput/>
                </w:ffData>
              </w:fldChar>
            </w:r>
            <w:bookmarkStart w:id="13" w:name="WCRQ"/>
            <w:r>
              <w:instrText xml:space="preserve"> FORMTEXT </w:instrText>
            </w:r>
            <w:r>
              <w:fldChar w:fldCharType="separate"/>
            </w:r>
            <w:r>
              <w:rPr>
                <w:rFonts w:hint="eastAsia"/>
              </w:rPr>
              <w:t>（本稿完成日期：2</w:t>
            </w:r>
            <w:r>
              <w:t>0240201</w:t>
            </w:r>
            <w:r>
              <w:rPr>
                <w:rFonts w:hint="eastAsia"/>
              </w:rPr>
              <w:t>）</w:t>
            </w:r>
            <w:r>
              <w:fldChar w:fldCharType="end"/>
            </w:r>
            <w:bookmarkEnd w:id="13"/>
          </w:p>
        </w:tc>
      </w:tr>
    </w:tbl>
    <w:p w:rsidR="00096367" w:rsidRDefault="00096367" w:rsidP="00096367">
      <w:pPr>
        <w:pStyle w:val="affffff5"/>
        <w:framePr w:wrap="around"/>
      </w:pPr>
      <w:r w:rsidRPr="00096367">
        <w:rPr>
          <w:rFonts w:ascii="黑体"/>
        </w:rPr>
        <w:fldChar w:fldCharType="begin">
          <w:ffData>
            <w:name w:val="FY"/>
            <w:enabled/>
            <w:calcOnExit w:val="0"/>
            <w:entryMacro w:val="ShowHelp8"/>
            <w:textInput>
              <w:default w:val="××××"/>
              <w:maxLength w:val="4"/>
            </w:textInput>
          </w:ffData>
        </w:fldChar>
      </w:r>
      <w:bookmarkStart w:id="14" w:name="FY"/>
      <w:r w:rsidRPr="00096367">
        <w:rPr>
          <w:rFonts w:ascii="黑体"/>
        </w:rPr>
        <w:instrText xml:space="preserve"> FORMTEXT </w:instrText>
      </w:r>
      <w:r w:rsidRPr="00096367">
        <w:rPr>
          <w:rFonts w:ascii="黑体"/>
        </w:rPr>
      </w:r>
      <w:r w:rsidRPr="00096367">
        <w:rPr>
          <w:rFonts w:ascii="黑体"/>
        </w:rPr>
        <w:fldChar w:fldCharType="separate"/>
      </w:r>
      <w:r w:rsidRPr="00096367">
        <w:rPr>
          <w:rFonts w:ascii="黑体"/>
          <w:noProof/>
        </w:rPr>
        <w:t>××××</w:t>
      </w:r>
      <w:r w:rsidRPr="00096367">
        <w:rPr>
          <w:rFonts w:ascii="黑体"/>
        </w:rPr>
        <w:fldChar w:fldCharType="end"/>
      </w:r>
      <w:bookmarkEnd w:id="14"/>
      <w:r>
        <w:t xml:space="preserve"> </w:t>
      </w:r>
      <w:r w:rsidRPr="00096367">
        <w:rPr>
          <w:rFonts w:ascii="黑体"/>
        </w:rPr>
        <w:t>-</w:t>
      </w:r>
      <w:r>
        <w:t xml:space="preserve"> </w:t>
      </w:r>
      <w:r w:rsidRPr="00096367">
        <w:rPr>
          <w:rFonts w:ascii="黑体"/>
        </w:rPr>
        <w:fldChar w:fldCharType="begin">
          <w:ffData>
            <w:name w:val="FM"/>
            <w:enabled/>
            <w:calcOnExit w:val="0"/>
            <w:entryMacro w:val="ShowHelp8"/>
            <w:textInput>
              <w:default w:val="××"/>
              <w:maxLength w:val="2"/>
            </w:textInput>
          </w:ffData>
        </w:fldChar>
      </w:r>
      <w:r w:rsidRPr="00096367">
        <w:rPr>
          <w:rFonts w:ascii="黑体"/>
        </w:rPr>
        <w:instrText xml:space="preserve"> FORMTEXT </w:instrText>
      </w:r>
      <w:r w:rsidRPr="00096367">
        <w:rPr>
          <w:rFonts w:ascii="黑体"/>
        </w:rPr>
      </w:r>
      <w:r w:rsidRPr="00096367">
        <w:rPr>
          <w:rFonts w:ascii="黑体"/>
        </w:rPr>
        <w:fldChar w:fldCharType="separate"/>
      </w:r>
      <w:r w:rsidRPr="00096367">
        <w:rPr>
          <w:rFonts w:ascii="黑体"/>
          <w:noProof/>
        </w:rPr>
        <w:t>××</w:t>
      </w:r>
      <w:r w:rsidRPr="00096367">
        <w:rPr>
          <w:rFonts w:ascii="黑体"/>
        </w:rPr>
        <w:fldChar w:fldCharType="end"/>
      </w:r>
      <w:r>
        <w:t xml:space="preserve"> </w:t>
      </w:r>
      <w:r w:rsidRPr="00096367">
        <w:rPr>
          <w:rFonts w:ascii="黑体"/>
        </w:rPr>
        <w:t>-</w:t>
      </w:r>
      <w:r>
        <w:t xml:space="preserve"> </w:t>
      </w:r>
      <w:r w:rsidRPr="00096367">
        <w:rPr>
          <w:rFonts w:ascii="黑体"/>
        </w:rPr>
        <w:fldChar w:fldCharType="begin">
          <w:ffData>
            <w:name w:val="FD"/>
            <w:enabled/>
            <w:calcOnExit w:val="0"/>
            <w:entryMacro w:val="ShowHelp8"/>
            <w:textInput>
              <w:default w:val="××"/>
              <w:maxLength w:val="2"/>
            </w:textInput>
          </w:ffData>
        </w:fldChar>
      </w:r>
      <w:bookmarkStart w:id="15" w:name="FD"/>
      <w:r w:rsidRPr="00096367">
        <w:rPr>
          <w:rFonts w:ascii="黑体"/>
        </w:rPr>
        <w:instrText xml:space="preserve"> FORMTEXT </w:instrText>
      </w:r>
      <w:r w:rsidRPr="00096367">
        <w:rPr>
          <w:rFonts w:ascii="黑体"/>
        </w:rPr>
      </w:r>
      <w:r w:rsidRPr="00096367">
        <w:rPr>
          <w:rFonts w:ascii="黑体"/>
        </w:rPr>
        <w:fldChar w:fldCharType="separate"/>
      </w:r>
      <w:r w:rsidRPr="00096367">
        <w:rPr>
          <w:rFonts w:ascii="黑体"/>
          <w:noProof/>
        </w:rPr>
        <w:t>××</w:t>
      </w:r>
      <w:r w:rsidRPr="00096367">
        <w:rPr>
          <w:rFonts w:ascii="黑体"/>
        </w:rPr>
        <w:fldChar w:fldCharType="end"/>
      </w:r>
      <w:bookmarkEnd w:id="15"/>
      <w:r>
        <w:rPr>
          <w:rFonts w:hint="eastAsia"/>
        </w:rPr>
        <w:t>发布</w:t>
      </w:r>
      <w:r w:rsidR="004A59DD">
        <w:rPr>
          <w:noProof/>
        </w:rPr>
        <mc:AlternateContent>
          <mc:Choice Requires="wps">
            <w:drawing>
              <wp:anchor distT="0" distB="0" distL="114300" distR="114300" simplePos="0" relativeHeight="251658240" behindDoc="0" locked="1" layoutInCell="1" allowOverlap="1" wp14:anchorId="575768A5" wp14:editId="3541F655">
                <wp:simplePos x="0" y="0"/>
                <wp:positionH relativeFrom="column">
                  <wp:posOffset>-635</wp:posOffset>
                </wp:positionH>
                <wp:positionV relativeFrom="page">
                  <wp:posOffset>9251950</wp:posOffset>
                </wp:positionV>
                <wp:extent cx="6120130" cy="0"/>
                <wp:effectExtent l="13970" t="12700" r="9525" b="6350"/>
                <wp:wrapNone/>
                <wp:docPr id="57815111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">
                <w10:wrap anchory="page"/>
                <w10:anchorlock/>
              </v:line>
            </w:pict>
          </mc:Fallback>
        </mc:AlternateContent>
      </w:r>
    </w:p>
    <w:p w:rsidR="00096367" w:rsidRDefault="00096367" w:rsidP="00096367">
      <w:pPr>
        <w:pStyle w:val="affffff6"/>
        <w:framePr w:wrap="around"/>
      </w:pPr>
      <w:r w:rsidRPr="00096367">
        <w:rPr>
          <w:rFonts w:ascii="黑体"/>
        </w:rPr>
        <w:fldChar w:fldCharType="begin">
          <w:ffData>
            <w:name w:val="SY"/>
            <w:enabled/>
            <w:calcOnExit w:val="0"/>
            <w:entryMacro w:val="ShowHelp9"/>
            <w:textInput>
              <w:default w:val="××××"/>
              <w:maxLength w:val="4"/>
            </w:textInput>
          </w:ffData>
        </w:fldChar>
      </w:r>
      <w:bookmarkStart w:id="16" w:name="SY"/>
      <w:r w:rsidRPr="00096367">
        <w:rPr>
          <w:rFonts w:ascii="黑体"/>
        </w:rPr>
        <w:instrText xml:space="preserve"> FORMTEXT </w:instrText>
      </w:r>
      <w:r w:rsidRPr="00096367">
        <w:rPr>
          <w:rFonts w:ascii="黑体"/>
        </w:rPr>
      </w:r>
      <w:r w:rsidRPr="00096367">
        <w:rPr>
          <w:rFonts w:ascii="黑体"/>
        </w:rPr>
        <w:fldChar w:fldCharType="separate"/>
      </w:r>
      <w:r w:rsidRPr="00096367">
        <w:rPr>
          <w:rFonts w:ascii="黑体"/>
          <w:noProof/>
        </w:rPr>
        <w:t>××××</w:t>
      </w:r>
      <w:r w:rsidRPr="00096367">
        <w:rPr>
          <w:rFonts w:ascii="黑体"/>
        </w:rPr>
        <w:fldChar w:fldCharType="end"/>
      </w:r>
      <w:bookmarkEnd w:id="16"/>
      <w:r>
        <w:t xml:space="preserve"> </w:t>
      </w:r>
      <w:r w:rsidRPr="00096367">
        <w:rPr>
          <w:rFonts w:ascii="黑体"/>
        </w:rPr>
        <w:t>-</w:t>
      </w:r>
      <w:r>
        <w:t xml:space="preserve"> </w:t>
      </w:r>
      <w:r w:rsidRPr="00096367">
        <w:rPr>
          <w:rFonts w:ascii="黑体"/>
        </w:rPr>
        <w:fldChar w:fldCharType="begin">
          <w:ffData>
            <w:name w:val="SM"/>
            <w:enabled/>
            <w:calcOnExit w:val="0"/>
            <w:entryMacro w:val="ShowHelp9"/>
            <w:textInput>
              <w:default w:val="××"/>
              <w:maxLength w:val="2"/>
            </w:textInput>
          </w:ffData>
        </w:fldChar>
      </w:r>
      <w:bookmarkStart w:id="17" w:name="SM"/>
      <w:r w:rsidRPr="00096367">
        <w:rPr>
          <w:rFonts w:ascii="黑体"/>
        </w:rPr>
        <w:instrText xml:space="preserve"> FORMTEXT </w:instrText>
      </w:r>
      <w:r w:rsidRPr="00096367">
        <w:rPr>
          <w:rFonts w:ascii="黑体"/>
        </w:rPr>
      </w:r>
      <w:r w:rsidRPr="00096367">
        <w:rPr>
          <w:rFonts w:ascii="黑体"/>
        </w:rPr>
        <w:fldChar w:fldCharType="separate"/>
      </w:r>
      <w:r w:rsidRPr="00096367">
        <w:rPr>
          <w:rFonts w:ascii="黑体"/>
          <w:noProof/>
        </w:rPr>
        <w:t>××</w:t>
      </w:r>
      <w:r w:rsidRPr="00096367">
        <w:rPr>
          <w:rFonts w:ascii="黑体"/>
        </w:rPr>
        <w:fldChar w:fldCharType="end"/>
      </w:r>
      <w:bookmarkEnd w:id="17"/>
      <w:r>
        <w:t xml:space="preserve"> </w:t>
      </w:r>
      <w:r w:rsidRPr="00096367">
        <w:rPr>
          <w:rFonts w:ascii="黑体"/>
        </w:rPr>
        <w:t>-</w:t>
      </w:r>
      <w:r>
        <w:t xml:space="preserve"> </w:t>
      </w:r>
      <w:r w:rsidRPr="00096367">
        <w:rPr>
          <w:rFonts w:ascii="黑体"/>
        </w:rPr>
        <w:fldChar w:fldCharType="begin">
          <w:ffData>
            <w:name w:val="SD"/>
            <w:enabled/>
            <w:calcOnExit w:val="0"/>
            <w:entryMacro w:val="ShowHelp9"/>
            <w:textInput>
              <w:default w:val="××"/>
              <w:maxLength w:val="2"/>
            </w:textInput>
          </w:ffData>
        </w:fldChar>
      </w:r>
      <w:bookmarkStart w:id="18" w:name="SD"/>
      <w:r w:rsidRPr="00096367">
        <w:rPr>
          <w:rFonts w:ascii="黑体"/>
        </w:rPr>
        <w:instrText xml:space="preserve"> FORMTEXT </w:instrText>
      </w:r>
      <w:r w:rsidRPr="00096367">
        <w:rPr>
          <w:rFonts w:ascii="黑体"/>
        </w:rPr>
      </w:r>
      <w:r w:rsidRPr="00096367">
        <w:rPr>
          <w:rFonts w:ascii="黑体"/>
        </w:rPr>
        <w:fldChar w:fldCharType="separate"/>
      </w:r>
      <w:r w:rsidRPr="00096367">
        <w:rPr>
          <w:rFonts w:ascii="黑体"/>
          <w:noProof/>
        </w:rPr>
        <w:t>××</w:t>
      </w:r>
      <w:r w:rsidRPr="00096367">
        <w:rPr>
          <w:rFonts w:ascii="黑体"/>
        </w:rPr>
        <w:fldChar w:fldCharType="end"/>
      </w:r>
      <w:bookmarkEnd w:id="18"/>
      <w:r>
        <w:rPr>
          <w:rFonts w:hint="eastAsia"/>
        </w:rPr>
        <w:t>实施</w:t>
      </w:r>
    </w:p>
    <w:p w:rsidR="00096367" w:rsidRDefault="00096367" w:rsidP="00096367">
      <w:pPr>
        <w:pStyle w:val="affffe"/>
        <w:framePr w:wrap="around"/>
      </w:pPr>
      <w:r>
        <w:fldChar w:fldCharType="begin">
          <w:ffData>
            <w:name w:val="fm"/>
            <w:enabled/>
            <w:calcOnExit w:val="0"/>
            <w:textInput/>
          </w:ffData>
        </w:fldChar>
      </w:r>
      <w:bookmarkStart w:id="19" w:name="fm"/>
      <w:r>
        <w:instrText xml:space="preserve"> FORMTEXT </w:instrText>
      </w:r>
      <w:r>
        <w:fldChar w:fldCharType="separate"/>
      </w:r>
      <w:r>
        <w:rPr>
          <w:rFonts w:hint="eastAsia"/>
        </w:rPr>
        <w:t>江苏省市场监督管理局</w:t>
      </w:r>
      <w:r>
        <w:fldChar w:fldCharType="end"/>
      </w:r>
      <w:bookmarkEnd w:id="19"/>
      <w:r>
        <w:t xml:space="preserve"> </w:t>
      </w:r>
      <w:r w:rsidRPr="00096367">
        <w:rPr>
          <w:rStyle w:val="afff6"/>
        </w:rPr>
        <w:t xml:space="preserve"> </w:t>
      </w:r>
      <w:r w:rsidRPr="00096367">
        <w:rPr>
          <w:rStyle w:val="afff6"/>
          <w:rFonts w:hint="eastAsia"/>
        </w:rPr>
        <w:t>发布</w:t>
      </w:r>
    </w:p>
    <w:p w:rsidR="00096367" w:rsidRPr="00096367" w:rsidRDefault="004A59DD" w:rsidP="00096367">
      <w:pPr>
        <w:pStyle w:val="aff6"/>
        <w:sectPr w:rsidR="00096367" w:rsidRPr="00096367" w:rsidSect="00096367">
          <w:pgSz w:w="11906" w:h="16838" w:code="9"/>
          <w:pgMar w:top="567" w:right="850" w:bottom="1134" w:left="1418" w:header="0" w:footer="0" w:gutter="0"/>
          <w:pgNumType w:start="1"/>
          <w:cols w:space="425"/>
          <w:docGrid w:type="lines" w:linePitch="312"/>
        </w:sectPr>
      </w:pPr>
      <w:r>
        <mc:AlternateContent>
          <mc:Choice Requires="wps">
            <w:drawing>
              <wp:anchor distT="0" distB="0" distL="114300" distR="114300" simplePos="0" relativeHeight="251659264" behindDoc="0" locked="0" layoutInCell="1" allowOverlap="1" wp14:anchorId="45B07BCC" wp14:editId="17A2BA88">
                <wp:simplePos x="0" y="0"/>
                <wp:positionH relativeFrom="column">
                  <wp:posOffset>-635</wp:posOffset>
                </wp:positionH>
                <wp:positionV relativeFrom="paragraph">
                  <wp:posOffset>2339975</wp:posOffset>
                </wp:positionV>
                <wp:extent cx="6120130" cy="0"/>
                <wp:effectExtent l="13970" t="13970" r="9525" b="5080"/>
                <wp:wrapNone/>
                <wp:docPr id="149190691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"/>
            </w:pict>
          </mc:Fallback>
        </mc:AlternateContent>
      </w:r>
    </w:p>
    <w:p w:rsidR="004C2895" w:rsidRDefault="004C2895" w:rsidP="004C2895">
      <w:pPr>
        <w:pStyle w:val="aff9"/>
      </w:pPr>
      <w:bookmarkStart w:id="20" w:name="_Toc158136510"/>
      <w:r>
        <w:rPr>
          <w:rFonts w:hint="eastAsia"/>
        </w:rPr>
        <w:lastRenderedPageBreak/>
        <w:t>目</w:t>
      </w:r>
      <w:bookmarkStart w:id="21" w:name="BKML"/>
      <w:r>
        <w:rPr>
          <w:rFonts w:hAnsi="黑体"/>
        </w:rPr>
        <w:t> </w:t>
      </w:r>
      <w:r>
        <w:rPr>
          <w:rFonts w:hAnsi="黑体"/>
        </w:rPr>
        <w:t> </w:t>
      </w:r>
      <w:r>
        <w:rPr>
          <w:rFonts w:hint="eastAsia"/>
        </w:rPr>
        <w:t>次</w:t>
      </w:r>
      <w:bookmarkEnd w:id="21"/>
    </w:p>
    <w:p w:rsidR="004C2895" w:rsidRDefault="004C2895">
      <w:pPr>
        <w:pStyle w:val="11"/>
        <w:spacing w:before="78" w:after="78"/>
        <w:rPr>
          <w:rFonts w:asciiTheme="minorHAnsi" w:eastAsiaTheme="minorEastAsia" w:hAnsiTheme="minorHAnsi" w:cstheme="minorBidi"/>
          <w:noProof/>
          <w:szCs w:val="22"/>
        </w:rPr>
      </w:pPr>
      <w:r>
        <w:fldChar w:fldCharType="begin" w:fldLock="1"/>
      </w:r>
      <w:r>
        <w:instrText xml:space="preserve"> </w:instrText>
      </w:r>
      <w:r>
        <w:rPr>
          <w:rFonts w:hint="eastAsia"/>
        </w:rPr>
        <w:instrText>TOC \h \z \t"前言、引言标题,1,参考文献、索引标题,1,章标题,1,参考文献,1,附录标识,1" \* MERGEFORMAT</w:instrText>
      </w:r>
      <w:r>
        <w:instrText xml:space="preserve"> </w:instrText>
      </w:r>
      <w:r>
        <w:fldChar w:fldCharType="separate"/>
      </w:r>
      <w:hyperlink w:anchor="_Toc158136669" w:history="1">
        <w:r w:rsidRPr="001B51E0">
          <w:rPr>
            <w:rStyle w:val="afff5"/>
          </w:rPr>
          <w:t>前言</w:t>
        </w:r>
        <w:r>
          <w:rPr>
            <w:noProof/>
            <w:webHidden/>
          </w:rPr>
          <w:tab/>
        </w:r>
        <w:r>
          <w:rPr>
            <w:noProof/>
            <w:webHidden/>
          </w:rPr>
          <w:fldChar w:fldCharType="begin" w:fldLock="1"/>
        </w:r>
        <w:r>
          <w:rPr>
            <w:noProof/>
            <w:webHidden/>
          </w:rPr>
          <w:instrText xml:space="preserve"> PAGEREF _Toc158136669 \h </w:instrText>
        </w:r>
        <w:r>
          <w:rPr>
            <w:noProof/>
            <w:webHidden/>
          </w:rPr>
        </w:r>
        <w:r>
          <w:rPr>
            <w:noProof/>
            <w:webHidden/>
          </w:rPr>
          <w:fldChar w:fldCharType="separate"/>
        </w:r>
        <w:r>
          <w:rPr>
            <w:noProof/>
            <w:webHidden/>
          </w:rPr>
          <w:t>II</w:t>
        </w:r>
        <w:r>
          <w:rPr>
            <w:noProof/>
            <w:webHidden/>
          </w:rPr>
          <w:fldChar w:fldCharType="end"/>
        </w:r>
      </w:hyperlink>
    </w:p>
    <w:p w:rsidR="004C2895" w:rsidRDefault="00C15DA2">
      <w:pPr>
        <w:pStyle w:val="11"/>
        <w:spacing w:before="78" w:after="78"/>
        <w:rPr>
          <w:rFonts w:asciiTheme="minorHAnsi" w:eastAsiaTheme="minorEastAsia" w:hAnsiTheme="minorHAnsi" w:cstheme="minorBidi"/>
          <w:noProof/>
          <w:szCs w:val="22"/>
        </w:rPr>
      </w:pPr>
      <w:hyperlink w:anchor="_Toc158136670" w:history="1">
        <w:r w:rsidR="004C2895" w:rsidRPr="001B51E0">
          <w:rPr>
            <w:rStyle w:val="afff5"/>
          </w:rPr>
          <w:t>1 范围</w:t>
        </w:r>
        <w:r w:rsidR="004C2895">
          <w:rPr>
            <w:noProof/>
            <w:webHidden/>
          </w:rPr>
          <w:tab/>
        </w:r>
        <w:r w:rsidR="004C2895">
          <w:rPr>
            <w:noProof/>
            <w:webHidden/>
          </w:rPr>
          <w:fldChar w:fldCharType="begin" w:fldLock="1"/>
        </w:r>
        <w:r w:rsidR="004C2895">
          <w:rPr>
            <w:noProof/>
            <w:webHidden/>
          </w:rPr>
          <w:instrText xml:space="preserve"> PAGEREF _Toc158136670 \h </w:instrText>
        </w:r>
        <w:r w:rsidR="004C2895">
          <w:rPr>
            <w:noProof/>
            <w:webHidden/>
          </w:rPr>
        </w:r>
        <w:r w:rsidR="004C2895">
          <w:rPr>
            <w:noProof/>
            <w:webHidden/>
          </w:rPr>
          <w:fldChar w:fldCharType="separate"/>
        </w:r>
        <w:r w:rsidR="004C2895">
          <w:rPr>
            <w:noProof/>
            <w:webHidden/>
          </w:rPr>
          <w:t>1</w:t>
        </w:r>
        <w:r w:rsidR="004C2895">
          <w:rPr>
            <w:noProof/>
            <w:webHidden/>
          </w:rPr>
          <w:fldChar w:fldCharType="end"/>
        </w:r>
      </w:hyperlink>
    </w:p>
    <w:p w:rsidR="004C2895" w:rsidRDefault="00C15DA2">
      <w:pPr>
        <w:pStyle w:val="11"/>
        <w:spacing w:before="78" w:after="78"/>
        <w:rPr>
          <w:rFonts w:asciiTheme="minorHAnsi" w:eastAsiaTheme="minorEastAsia" w:hAnsiTheme="minorHAnsi" w:cstheme="minorBidi"/>
          <w:noProof/>
          <w:szCs w:val="22"/>
        </w:rPr>
      </w:pPr>
      <w:hyperlink w:anchor="_Toc158136671" w:history="1">
        <w:r w:rsidR="004C2895" w:rsidRPr="001B51E0">
          <w:rPr>
            <w:rStyle w:val="afff5"/>
          </w:rPr>
          <w:t>2 规范性引用文件</w:t>
        </w:r>
        <w:r w:rsidR="004C2895">
          <w:rPr>
            <w:noProof/>
            <w:webHidden/>
          </w:rPr>
          <w:tab/>
        </w:r>
        <w:r w:rsidR="004C2895">
          <w:rPr>
            <w:noProof/>
            <w:webHidden/>
          </w:rPr>
          <w:fldChar w:fldCharType="begin" w:fldLock="1"/>
        </w:r>
        <w:r w:rsidR="004C2895">
          <w:rPr>
            <w:noProof/>
            <w:webHidden/>
          </w:rPr>
          <w:instrText xml:space="preserve"> PAGEREF _Toc158136671 \h </w:instrText>
        </w:r>
        <w:r w:rsidR="004C2895">
          <w:rPr>
            <w:noProof/>
            <w:webHidden/>
          </w:rPr>
        </w:r>
        <w:r w:rsidR="004C2895">
          <w:rPr>
            <w:noProof/>
            <w:webHidden/>
          </w:rPr>
          <w:fldChar w:fldCharType="separate"/>
        </w:r>
        <w:r w:rsidR="004C2895">
          <w:rPr>
            <w:noProof/>
            <w:webHidden/>
          </w:rPr>
          <w:t>1</w:t>
        </w:r>
        <w:r w:rsidR="004C2895">
          <w:rPr>
            <w:noProof/>
            <w:webHidden/>
          </w:rPr>
          <w:fldChar w:fldCharType="end"/>
        </w:r>
      </w:hyperlink>
    </w:p>
    <w:p w:rsidR="004C2895" w:rsidRDefault="00C15DA2">
      <w:pPr>
        <w:pStyle w:val="11"/>
        <w:spacing w:before="78" w:after="78"/>
        <w:rPr>
          <w:rFonts w:asciiTheme="minorHAnsi" w:eastAsiaTheme="minorEastAsia" w:hAnsiTheme="minorHAnsi" w:cstheme="minorBidi"/>
          <w:noProof/>
          <w:szCs w:val="22"/>
        </w:rPr>
      </w:pPr>
      <w:hyperlink w:anchor="_Toc158136672" w:history="1">
        <w:r w:rsidR="004C2895" w:rsidRPr="001B51E0">
          <w:rPr>
            <w:rStyle w:val="afff5"/>
          </w:rPr>
          <w:t>3 术语和定义</w:t>
        </w:r>
        <w:r w:rsidR="004C2895">
          <w:rPr>
            <w:noProof/>
            <w:webHidden/>
          </w:rPr>
          <w:tab/>
        </w:r>
        <w:r w:rsidR="004C2895">
          <w:rPr>
            <w:noProof/>
            <w:webHidden/>
          </w:rPr>
          <w:fldChar w:fldCharType="begin" w:fldLock="1"/>
        </w:r>
        <w:r w:rsidR="004C2895">
          <w:rPr>
            <w:noProof/>
            <w:webHidden/>
          </w:rPr>
          <w:instrText xml:space="preserve"> PAGEREF _Toc158136672 \h </w:instrText>
        </w:r>
        <w:r w:rsidR="004C2895">
          <w:rPr>
            <w:noProof/>
            <w:webHidden/>
          </w:rPr>
        </w:r>
        <w:r w:rsidR="004C2895">
          <w:rPr>
            <w:noProof/>
            <w:webHidden/>
          </w:rPr>
          <w:fldChar w:fldCharType="separate"/>
        </w:r>
        <w:r w:rsidR="004C2895">
          <w:rPr>
            <w:noProof/>
            <w:webHidden/>
          </w:rPr>
          <w:t>1</w:t>
        </w:r>
        <w:r w:rsidR="004C2895">
          <w:rPr>
            <w:noProof/>
            <w:webHidden/>
          </w:rPr>
          <w:fldChar w:fldCharType="end"/>
        </w:r>
      </w:hyperlink>
    </w:p>
    <w:p w:rsidR="004C2895" w:rsidRDefault="00C15DA2">
      <w:pPr>
        <w:pStyle w:val="11"/>
        <w:spacing w:before="78" w:after="78"/>
        <w:rPr>
          <w:rFonts w:asciiTheme="minorHAnsi" w:eastAsiaTheme="minorEastAsia" w:hAnsiTheme="minorHAnsi" w:cstheme="minorBidi"/>
          <w:noProof/>
          <w:szCs w:val="22"/>
        </w:rPr>
      </w:pPr>
      <w:hyperlink w:anchor="_Toc158136673" w:history="1">
        <w:r w:rsidR="004C2895" w:rsidRPr="001B51E0">
          <w:rPr>
            <w:rStyle w:val="afff5"/>
          </w:rPr>
          <w:t>4 缩略语</w:t>
        </w:r>
        <w:r w:rsidR="004C2895">
          <w:rPr>
            <w:noProof/>
            <w:webHidden/>
          </w:rPr>
          <w:tab/>
        </w:r>
        <w:r w:rsidR="004C2895">
          <w:rPr>
            <w:noProof/>
            <w:webHidden/>
          </w:rPr>
          <w:fldChar w:fldCharType="begin" w:fldLock="1"/>
        </w:r>
        <w:r w:rsidR="004C2895">
          <w:rPr>
            <w:noProof/>
            <w:webHidden/>
          </w:rPr>
          <w:instrText xml:space="preserve"> PAGEREF _Toc158136673 \h </w:instrText>
        </w:r>
        <w:r w:rsidR="004C2895">
          <w:rPr>
            <w:noProof/>
            <w:webHidden/>
          </w:rPr>
        </w:r>
        <w:r w:rsidR="004C2895">
          <w:rPr>
            <w:noProof/>
            <w:webHidden/>
          </w:rPr>
          <w:fldChar w:fldCharType="separate"/>
        </w:r>
        <w:r w:rsidR="004C2895">
          <w:rPr>
            <w:noProof/>
            <w:webHidden/>
          </w:rPr>
          <w:t>2</w:t>
        </w:r>
        <w:r w:rsidR="004C2895">
          <w:rPr>
            <w:noProof/>
            <w:webHidden/>
          </w:rPr>
          <w:fldChar w:fldCharType="end"/>
        </w:r>
      </w:hyperlink>
    </w:p>
    <w:p w:rsidR="004C2895" w:rsidRDefault="00C15DA2">
      <w:pPr>
        <w:pStyle w:val="11"/>
        <w:spacing w:before="78" w:after="78"/>
        <w:rPr>
          <w:rFonts w:asciiTheme="minorHAnsi" w:eastAsiaTheme="minorEastAsia" w:hAnsiTheme="minorHAnsi" w:cstheme="minorBidi"/>
          <w:noProof/>
          <w:szCs w:val="22"/>
        </w:rPr>
      </w:pPr>
      <w:hyperlink w:anchor="_Toc158136674" w:history="1">
        <w:r w:rsidR="004C2895" w:rsidRPr="001B51E0">
          <w:rPr>
            <w:rStyle w:val="afff5"/>
          </w:rPr>
          <w:t>5 总则</w:t>
        </w:r>
        <w:r w:rsidR="004C2895">
          <w:rPr>
            <w:noProof/>
            <w:webHidden/>
          </w:rPr>
          <w:tab/>
        </w:r>
        <w:r w:rsidR="004C2895">
          <w:rPr>
            <w:noProof/>
            <w:webHidden/>
          </w:rPr>
          <w:fldChar w:fldCharType="begin" w:fldLock="1"/>
        </w:r>
        <w:r w:rsidR="004C2895">
          <w:rPr>
            <w:noProof/>
            <w:webHidden/>
          </w:rPr>
          <w:instrText xml:space="preserve"> PAGEREF _Toc158136674 \h </w:instrText>
        </w:r>
        <w:r w:rsidR="004C2895">
          <w:rPr>
            <w:noProof/>
            <w:webHidden/>
          </w:rPr>
        </w:r>
        <w:r w:rsidR="004C2895">
          <w:rPr>
            <w:noProof/>
            <w:webHidden/>
          </w:rPr>
          <w:fldChar w:fldCharType="separate"/>
        </w:r>
        <w:r w:rsidR="004C2895">
          <w:rPr>
            <w:noProof/>
            <w:webHidden/>
          </w:rPr>
          <w:t>2</w:t>
        </w:r>
        <w:r w:rsidR="004C2895">
          <w:rPr>
            <w:noProof/>
            <w:webHidden/>
          </w:rPr>
          <w:fldChar w:fldCharType="end"/>
        </w:r>
      </w:hyperlink>
    </w:p>
    <w:p w:rsidR="004C2895" w:rsidRDefault="00C15DA2">
      <w:pPr>
        <w:pStyle w:val="11"/>
        <w:spacing w:before="78" w:after="78"/>
        <w:rPr>
          <w:rFonts w:asciiTheme="minorHAnsi" w:eastAsiaTheme="minorEastAsia" w:hAnsiTheme="minorHAnsi" w:cstheme="minorBidi"/>
          <w:noProof/>
          <w:szCs w:val="22"/>
        </w:rPr>
      </w:pPr>
      <w:hyperlink w:anchor="_Toc158136675" w:history="1">
        <w:r w:rsidR="004C2895" w:rsidRPr="001B51E0">
          <w:rPr>
            <w:rStyle w:val="afff5"/>
          </w:rPr>
          <w:t>6 通用规定</w:t>
        </w:r>
        <w:r w:rsidR="004C2895">
          <w:rPr>
            <w:noProof/>
            <w:webHidden/>
          </w:rPr>
          <w:tab/>
        </w:r>
        <w:r w:rsidR="004C2895">
          <w:rPr>
            <w:noProof/>
            <w:webHidden/>
          </w:rPr>
          <w:fldChar w:fldCharType="begin" w:fldLock="1"/>
        </w:r>
        <w:r w:rsidR="004C2895">
          <w:rPr>
            <w:noProof/>
            <w:webHidden/>
          </w:rPr>
          <w:instrText xml:space="preserve"> PAGEREF _Toc158136675 \h </w:instrText>
        </w:r>
        <w:r w:rsidR="004C2895">
          <w:rPr>
            <w:noProof/>
            <w:webHidden/>
          </w:rPr>
        </w:r>
        <w:r w:rsidR="004C2895">
          <w:rPr>
            <w:noProof/>
            <w:webHidden/>
          </w:rPr>
          <w:fldChar w:fldCharType="separate"/>
        </w:r>
        <w:r w:rsidR="004C2895">
          <w:rPr>
            <w:noProof/>
            <w:webHidden/>
          </w:rPr>
          <w:t>3</w:t>
        </w:r>
        <w:r w:rsidR="004C2895">
          <w:rPr>
            <w:noProof/>
            <w:webHidden/>
          </w:rPr>
          <w:fldChar w:fldCharType="end"/>
        </w:r>
      </w:hyperlink>
    </w:p>
    <w:p w:rsidR="004C2895" w:rsidRDefault="00C15DA2">
      <w:pPr>
        <w:pStyle w:val="11"/>
        <w:spacing w:before="78" w:after="78"/>
        <w:rPr>
          <w:rFonts w:asciiTheme="minorHAnsi" w:eastAsiaTheme="minorEastAsia" w:hAnsiTheme="minorHAnsi" w:cstheme="minorBidi"/>
          <w:noProof/>
          <w:szCs w:val="22"/>
        </w:rPr>
      </w:pPr>
      <w:hyperlink w:anchor="_Toc158136676" w:history="1">
        <w:r w:rsidR="004C2895" w:rsidRPr="001B51E0">
          <w:rPr>
            <w:rStyle w:val="afff5"/>
          </w:rPr>
          <w:t>7 原料处理</w:t>
        </w:r>
        <w:r w:rsidR="004C2895">
          <w:rPr>
            <w:noProof/>
            <w:webHidden/>
          </w:rPr>
          <w:tab/>
        </w:r>
        <w:r w:rsidR="004C2895">
          <w:rPr>
            <w:noProof/>
            <w:webHidden/>
          </w:rPr>
          <w:fldChar w:fldCharType="begin" w:fldLock="1"/>
        </w:r>
        <w:r w:rsidR="004C2895">
          <w:rPr>
            <w:noProof/>
            <w:webHidden/>
          </w:rPr>
          <w:instrText xml:space="preserve"> PAGEREF _Toc158136676 \h </w:instrText>
        </w:r>
        <w:r w:rsidR="004C2895">
          <w:rPr>
            <w:noProof/>
            <w:webHidden/>
          </w:rPr>
        </w:r>
        <w:r w:rsidR="004C2895">
          <w:rPr>
            <w:noProof/>
            <w:webHidden/>
          </w:rPr>
          <w:fldChar w:fldCharType="separate"/>
        </w:r>
        <w:r w:rsidR="004C2895">
          <w:rPr>
            <w:noProof/>
            <w:webHidden/>
          </w:rPr>
          <w:t>4</w:t>
        </w:r>
        <w:r w:rsidR="004C2895">
          <w:rPr>
            <w:noProof/>
            <w:webHidden/>
          </w:rPr>
          <w:fldChar w:fldCharType="end"/>
        </w:r>
      </w:hyperlink>
    </w:p>
    <w:p w:rsidR="004C2895" w:rsidRDefault="00C15DA2">
      <w:pPr>
        <w:pStyle w:val="11"/>
        <w:spacing w:before="78" w:after="78"/>
        <w:rPr>
          <w:rFonts w:asciiTheme="minorHAnsi" w:eastAsiaTheme="minorEastAsia" w:hAnsiTheme="minorHAnsi" w:cstheme="minorBidi"/>
          <w:noProof/>
          <w:szCs w:val="22"/>
        </w:rPr>
      </w:pPr>
      <w:hyperlink w:anchor="_Toc158136677" w:history="1">
        <w:r w:rsidR="004C2895" w:rsidRPr="001B51E0">
          <w:rPr>
            <w:rStyle w:val="afff5"/>
          </w:rPr>
          <w:t>8 反应工序</w:t>
        </w:r>
        <w:r w:rsidR="004C2895">
          <w:rPr>
            <w:noProof/>
            <w:webHidden/>
          </w:rPr>
          <w:tab/>
        </w:r>
        <w:r w:rsidR="004C2895">
          <w:rPr>
            <w:noProof/>
            <w:webHidden/>
          </w:rPr>
          <w:fldChar w:fldCharType="begin" w:fldLock="1"/>
        </w:r>
        <w:r w:rsidR="004C2895">
          <w:rPr>
            <w:noProof/>
            <w:webHidden/>
          </w:rPr>
          <w:instrText xml:space="preserve"> PAGEREF _Toc158136677 \h </w:instrText>
        </w:r>
        <w:r w:rsidR="004C2895">
          <w:rPr>
            <w:noProof/>
            <w:webHidden/>
          </w:rPr>
        </w:r>
        <w:r w:rsidR="004C2895">
          <w:rPr>
            <w:noProof/>
            <w:webHidden/>
          </w:rPr>
          <w:fldChar w:fldCharType="separate"/>
        </w:r>
        <w:r w:rsidR="004C2895">
          <w:rPr>
            <w:noProof/>
            <w:webHidden/>
          </w:rPr>
          <w:t>4</w:t>
        </w:r>
        <w:r w:rsidR="004C2895">
          <w:rPr>
            <w:noProof/>
            <w:webHidden/>
          </w:rPr>
          <w:fldChar w:fldCharType="end"/>
        </w:r>
      </w:hyperlink>
    </w:p>
    <w:p w:rsidR="004C2895" w:rsidRDefault="00C15DA2">
      <w:pPr>
        <w:pStyle w:val="11"/>
        <w:spacing w:before="78" w:after="78"/>
        <w:rPr>
          <w:rFonts w:asciiTheme="minorHAnsi" w:eastAsiaTheme="minorEastAsia" w:hAnsiTheme="minorHAnsi" w:cstheme="minorBidi"/>
          <w:noProof/>
          <w:szCs w:val="22"/>
        </w:rPr>
      </w:pPr>
      <w:hyperlink w:anchor="_Toc158136678" w:history="1">
        <w:r w:rsidR="004C2895" w:rsidRPr="001B51E0">
          <w:rPr>
            <w:rStyle w:val="afff5"/>
          </w:rPr>
          <w:t>9 精馏精制</w:t>
        </w:r>
        <w:r w:rsidR="004C2895">
          <w:rPr>
            <w:noProof/>
            <w:webHidden/>
          </w:rPr>
          <w:tab/>
        </w:r>
        <w:r w:rsidR="004C2895">
          <w:rPr>
            <w:noProof/>
            <w:webHidden/>
          </w:rPr>
          <w:fldChar w:fldCharType="begin" w:fldLock="1"/>
        </w:r>
        <w:r w:rsidR="004C2895">
          <w:rPr>
            <w:noProof/>
            <w:webHidden/>
          </w:rPr>
          <w:instrText xml:space="preserve"> PAGEREF _Toc158136678 \h </w:instrText>
        </w:r>
        <w:r w:rsidR="004C2895">
          <w:rPr>
            <w:noProof/>
            <w:webHidden/>
          </w:rPr>
        </w:r>
        <w:r w:rsidR="004C2895">
          <w:rPr>
            <w:noProof/>
            <w:webHidden/>
          </w:rPr>
          <w:fldChar w:fldCharType="separate"/>
        </w:r>
        <w:r w:rsidR="004C2895">
          <w:rPr>
            <w:noProof/>
            <w:webHidden/>
          </w:rPr>
          <w:t>5</w:t>
        </w:r>
        <w:r w:rsidR="004C2895">
          <w:rPr>
            <w:noProof/>
            <w:webHidden/>
          </w:rPr>
          <w:fldChar w:fldCharType="end"/>
        </w:r>
      </w:hyperlink>
    </w:p>
    <w:p w:rsidR="004C2895" w:rsidRDefault="00C15DA2">
      <w:pPr>
        <w:pStyle w:val="11"/>
        <w:spacing w:before="78" w:after="78"/>
        <w:rPr>
          <w:rFonts w:asciiTheme="minorHAnsi" w:eastAsiaTheme="minorEastAsia" w:hAnsiTheme="minorHAnsi" w:cstheme="minorBidi"/>
          <w:noProof/>
          <w:szCs w:val="22"/>
        </w:rPr>
      </w:pPr>
      <w:hyperlink w:anchor="_Toc158136679" w:history="1">
        <w:r w:rsidR="004C2895" w:rsidRPr="001B51E0">
          <w:rPr>
            <w:rStyle w:val="afff5"/>
          </w:rPr>
          <w:t>10 产品包装</w:t>
        </w:r>
        <w:r w:rsidR="004C2895">
          <w:rPr>
            <w:noProof/>
            <w:webHidden/>
          </w:rPr>
          <w:tab/>
        </w:r>
        <w:r w:rsidR="004C2895">
          <w:rPr>
            <w:noProof/>
            <w:webHidden/>
          </w:rPr>
          <w:fldChar w:fldCharType="begin" w:fldLock="1"/>
        </w:r>
        <w:r w:rsidR="004C2895">
          <w:rPr>
            <w:noProof/>
            <w:webHidden/>
          </w:rPr>
          <w:instrText xml:space="preserve"> PAGEREF _Toc158136679 \h </w:instrText>
        </w:r>
        <w:r w:rsidR="004C2895">
          <w:rPr>
            <w:noProof/>
            <w:webHidden/>
          </w:rPr>
        </w:r>
        <w:r w:rsidR="004C2895">
          <w:rPr>
            <w:noProof/>
            <w:webHidden/>
          </w:rPr>
          <w:fldChar w:fldCharType="separate"/>
        </w:r>
        <w:r w:rsidR="004C2895">
          <w:rPr>
            <w:noProof/>
            <w:webHidden/>
          </w:rPr>
          <w:t>5</w:t>
        </w:r>
        <w:r w:rsidR="004C2895">
          <w:rPr>
            <w:noProof/>
            <w:webHidden/>
          </w:rPr>
          <w:fldChar w:fldCharType="end"/>
        </w:r>
      </w:hyperlink>
    </w:p>
    <w:p w:rsidR="004C2895" w:rsidRDefault="00C15DA2">
      <w:pPr>
        <w:pStyle w:val="11"/>
        <w:spacing w:before="78" w:after="78"/>
        <w:rPr>
          <w:rFonts w:asciiTheme="minorHAnsi" w:eastAsiaTheme="minorEastAsia" w:hAnsiTheme="minorHAnsi" w:cstheme="minorBidi"/>
          <w:noProof/>
          <w:szCs w:val="22"/>
        </w:rPr>
      </w:pPr>
      <w:hyperlink w:anchor="_Toc158136680" w:history="1">
        <w:r w:rsidR="004C2895" w:rsidRPr="001B51E0">
          <w:rPr>
            <w:rStyle w:val="afff5"/>
          </w:rPr>
          <w:t>11 危险化学品储运</w:t>
        </w:r>
        <w:r w:rsidR="004C2895">
          <w:rPr>
            <w:noProof/>
            <w:webHidden/>
          </w:rPr>
          <w:tab/>
        </w:r>
        <w:r w:rsidR="004C2895">
          <w:rPr>
            <w:noProof/>
            <w:webHidden/>
          </w:rPr>
          <w:fldChar w:fldCharType="begin" w:fldLock="1"/>
        </w:r>
        <w:r w:rsidR="004C2895">
          <w:rPr>
            <w:noProof/>
            <w:webHidden/>
          </w:rPr>
          <w:instrText xml:space="preserve"> PAGEREF _Toc158136680 \h </w:instrText>
        </w:r>
        <w:r w:rsidR="004C2895">
          <w:rPr>
            <w:noProof/>
            <w:webHidden/>
          </w:rPr>
        </w:r>
        <w:r w:rsidR="004C2895">
          <w:rPr>
            <w:noProof/>
            <w:webHidden/>
          </w:rPr>
          <w:fldChar w:fldCharType="separate"/>
        </w:r>
        <w:r w:rsidR="004C2895">
          <w:rPr>
            <w:noProof/>
            <w:webHidden/>
          </w:rPr>
          <w:t>5</w:t>
        </w:r>
        <w:r w:rsidR="004C2895">
          <w:rPr>
            <w:noProof/>
            <w:webHidden/>
          </w:rPr>
          <w:fldChar w:fldCharType="end"/>
        </w:r>
      </w:hyperlink>
    </w:p>
    <w:p w:rsidR="004C2895" w:rsidRDefault="00C15DA2">
      <w:pPr>
        <w:pStyle w:val="11"/>
        <w:spacing w:before="78" w:after="78"/>
        <w:rPr>
          <w:rFonts w:asciiTheme="minorHAnsi" w:eastAsiaTheme="minorEastAsia" w:hAnsiTheme="minorHAnsi" w:cstheme="minorBidi"/>
          <w:noProof/>
          <w:szCs w:val="22"/>
        </w:rPr>
      </w:pPr>
      <w:hyperlink w:anchor="_Toc158136681" w:history="1">
        <w:r w:rsidR="004C2895" w:rsidRPr="001B51E0">
          <w:rPr>
            <w:rStyle w:val="afff5"/>
          </w:rPr>
          <w:t>12 公用工程</w:t>
        </w:r>
        <w:r w:rsidR="004C2895">
          <w:rPr>
            <w:noProof/>
            <w:webHidden/>
          </w:rPr>
          <w:tab/>
        </w:r>
        <w:r w:rsidR="004C2895">
          <w:rPr>
            <w:noProof/>
            <w:webHidden/>
          </w:rPr>
          <w:fldChar w:fldCharType="begin" w:fldLock="1"/>
        </w:r>
        <w:r w:rsidR="004C2895">
          <w:rPr>
            <w:noProof/>
            <w:webHidden/>
          </w:rPr>
          <w:instrText xml:space="preserve"> PAGEREF _Toc158136681 \h </w:instrText>
        </w:r>
        <w:r w:rsidR="004C2895">
          <w:rPr>
            <w:noProof/>
            <w:webHidden/>
          </w:rPr>
        </w:r>
        <w:r w:rsidR="004C2895">
          <w:rPr>
            <w:noProof/>
            <w:webHidden/>
          </w:rPr>
          <w:fldChar w:fldCharType="separate"/>
        </w:r>
        <w:r w:rsidR="004C2895">
          <w:rPr>
            <w:noProof/>
            <w:webHidden/>
          </w:rPr>
          <w:t>6</w:t>
        </w:r>
        <w:r w:rsidR="004C2895">
          <w:rPr>
            <w:noProof/>
            <w:webHidden/>
          </w:rPr>
          <w:fldChar w:fldCharType="end"/>
        </w:r>
      </w:hyperlink>
    </w:p>
    <w:p w:rsidR="004C2895" w:rsidRDefault="00C15DA2">
      <w:pPr>
        <w:pStyle w:val="11"/>
        <w:spacing w:before="78" w:after="78"/>
        <w:rPr>
          <w:rFonts w:asciiTheme="minorHAnsi" w:eastAsiaTheme="minorEastAsia" w:hAnsiTheme="minorHAnsi" w:cstheme="minorBidi"/>
          <w:noProof/>
          <w:szCs w:val="22"/>
        </w:rPr>
      </w:pPr>
      <w:hyperlink w:anchor="_Toc158136682" w:history="1">
        <w:r w:rsidR="004C2895" w:rsidRPr="001B51E0">
          <w:rPr>
            <w:rStyle w:val="afff5"/>
          </w:rPr>
          <w:t>参考文献</w:t>
        </w:r>
        <w:r w:rsidR="004C2895">
          <w:rPr>
            <w:noProof/>
            <w:webHidden/>
          </w:rPr>
          <w:tab/>
        </w:r>
        <w:r w:rsidR="004C2895">
          <w:rPr>
            <w:noProof/>
            <w:webHidden/>
          </w:rPr>
          <w:fldChar w:fldCharType="begin" w:fldLock="1"/>
        </w:r>
        <w:r w:rsidR="004C2895">
          <w:rPr>
            <w:noProof/>
            <w:webHidden/>
          </w:rPr>
          <w:instrText xml:space="preserve"> PAGEREF _Toc158136682 \h </w:instrText>
        </w:r>
        <w:r w:rsidR="004C2895">
          <w:rPr>
            <w:noProof/>
            <w:webHidden/>
          </w:rPr>
        </w:r>
        <w:r w:rsidR="004C2895">
          <w:rPr>
            <w:noProof/>
            <w:webHidden/>
          </w:rPr>
          <w:fldChar w:fldCharType="separate"/>
        </w:r>
        <w:r w:rsidR="004C2895">
          <w:rPr>
            <w:noProof/>
            <w:webHidden/>
          </w:rPr>
          <w:t>8</w:t>
        </w:r>
        <w:r w:rsidR="004C2895">
          <w:rPr>
            <w:noProof/>
            <w:webHidden/>
          </w:rPr>
          <w:fldChar w:fldCharType="end"/>
        </w:r>
      </w:hyperlink>
    </w:p>
    <w:p w:rsidR="004C2895" w:rsidRPr="004C2895" w:rsidRDefault="004C2895" w:rsidP="004C2895">
      <w:pPr>
        <w:pStyle w:val="aff6"/>
      </w:pPr>
      <w:r>
        <w:fldChar w:fldCharType="end"/>
      </w:r>
    </w:p>
    <w:p w:rsidR="00096367" w:rsidRDefault="00096367" w:rsidP="00096367">
      <w:pPr>
        <w:pStyle w:val="afffff"/>
      </w:pPr>
      <w:bookmarkStart w:id="22" w:name="_Toc158136669"/>
      <w:r>
        <w:rPr>
          <w:rFonts w:hint="eastAsia"/>
        </w:rPr>
        <w:lastRenderedPageBreak/>
        <w:t>前</w:t>
      </w:r>
      <w:bookmarkStart w:id="23" w:name="BKQY"/>
      <w:r>
        <w:rPr>
          <w:rFonts w:hAnsi="黑体"/>
        </w:rPr>
        <w:t> </w:t>
      </w:r>
      <w:r>
        <w:rPr>
          <w:rFonts w:hAnsi="黑体"/>
        </w:rPr>
        <w:t> </w:t>
      </w:r>
      <w:r>
        <w:rPr>
          <w:rFonts w:hint="eastAsia"/>
        </w:rPr>
        <w:t>言</w:t>
      </w:r>
      <w:bookmarkEnd w:id="20"/>
      <w:bookmarkEnd w:id="22"/>
      <w:bookmarkEnd w:id="23"/>
    </w:p>
    <w:p w:rsidR="00096367" w:rsidRDefault="00096367" w:rsidP="00096367">
      <w:pPr>
        <w:pStyle w:val="aff6"/>
      </w:pPr>
      <w:r>
        <w:rPr>
          <w:rFonts w:hint="eastAsia"/>
        </w:rPr>
        <w:t>本文件按照GB/T 1.1-2020《标准化工作导则 第1部分：标准化文件的结构和起草规则》的规则起草。</w:t>
      </w:r>
    </w:p>
    <w:p w:rsidR="00096367" w:rsidRDefault="00096367" w:rsidP="00096367">
      <w:pPr>
        <w:pStyle w:val="aff6"/>
      </w:pPr>
      <w:r>
        <w:rPr>
          <w:rFonts w:hint="eastAsia"/>
        </w:rPr>
        <w:t>本文件由江苏省应急管理厅提出</w:t>
      </w:r>
      <w:r w:rsidR="00C15DA2">
        <w:rPr>
          <w:rFonts w:hint="eastAsia"/>
        </w:rPr>
        <w:t>并组织实施</w:t>
      </w:r>
      <w:bookmarkStart w:id="24" w:name="_GoBack"/>
      <w:bookmarkEnd w:id="24"/>
      <w:r>
        <w:rPr>
          <w:rFonts w:hint="eastAsia"/>
        </w:rPr>
        <w:t>。</w:t>
      </w:r>
    </w:p>
    <w:p w:rsidR="00096367" w:rsidRDefault="00096367" w:rsidP="00096367">
      <w:pPr>
        <w:pStyle w:val="aff6"/>
      </w:pPr>
      <w:r>
        <w:rPr>
          <w:rFonts w:hint="eastAsia"/>
        </w:rPr>
        <w:t>本文件由江苏省安全生产标准化技术委员会归口。</w:t>
      </w:r>
    </w:p>
    <w:p w:rsidR="00096367" w:rsidRDefault="00096367" w:rsidP="00096367">
      <w:pPr>
        <w:pStyle w:val="aff6"/>
      </w:pPr>
      <w:r>
        <w:rPr>
          <w:rFonts w:hint="eastAsia"/>
        </w:rPr>
        <w:t>本文件主要起草单位：江苏省安全生产科学研究院、南京江北新材料科技园、江苏省泰兴经济开发区、江苏省化工设计院有限公司、南京科远智慧科技集团股份有限公司。</w:t>
      </w:r>
    </w:p>
    <w:p w:rsidR="00096367" w:rsidRPr="00096367" w:rsidRDefault="00096367" w:rsidP="00096367">
      <w:pPr>
        <w:pStyle w:val="aff6"/>
      </w:pPr>
      <w:r>
        <w:rPr>
          <w:rFonts w:hint="eastAsia"/>
        </w:rPr>
        <w:t>本文件主要起草人：王晓明、王子牛、刘泽、张君华、吴菲、徐海洋、于学珍、陈正南、孙佳佳、谭涛、李星、冷庆、陈刚、张程浩、杨海峰、胡天媛。</w:t>
      </w:r>
    </w:p>
    <w:p w:rsidR="00096367" w:rsidRPr="00096367" w:rsidRDefault="00096367" w:rsidP="00096367">
      <w:pPr>
        <w:pStyle w:val="aff6"/>
        <w:sectPr w:rsidR="00096367" w:rsidRPr="00096367" w:rsidSect="00096367">
          <w:headerReference w:type="default" r:id="rId8"/>
          <w:footerReference w:type="default" r:id="rId9"/>
          <w:pgSz w:w="11906" w:h="16838" w:code="9"/>
          <w:pgMar w:top="567" w:right="1134" w:bottom="1134" w:left="1418" w:header="1418" w:footer="1134" w:gutter="0"/>
          <w:pgNumType w:fmt="upperRoman" w:start="1"/>
          <w:cols w:space="425"/>
          <w:formProt w:val="0"/>
          <w:docGrid w:type="lines" w:linePitch="312"/>
        </w:sectPr>
      </w:pPr>
    </w:p>
    <w:p w:rsidR="00F34B99" w:rsidRPr="00B74441" w:rsidRDefault="00C15DA2" w:rsidP="00476A92">
      <w:pPr>
        <w:pStyle w:val="aff9"/>
      </w:pPr>
      <w:sdt>
        <w:sdtPr>
          <w:alias w:val="标准名称"/>
          <w:tag w:val="标准名称"/>
          <w:id w:val="1795105741"/>
          <w:lock w:val="sdtLocked"/>
          <w:placeholder>
            <w:docPart w:val="9A451E4CCCFF4291A8E582DB5EE67F34"/>
          </w:placeholder>
          <w:text w:multiLine="1"/>
        </w:sdtPr>
        <w:sdtEndPr/>
        <w:sdtContent>
          <w:r w:rsidR="00476A92">
            <w:rPr>
              <w:rFonts w:hint="eastAsia"/>
            </w:rPr>
            <w:t>重点化工企业全流程自动化控制配备和提升规范</w:t>
          </w:r>
        </w:sdtContent>
      </w:sdt>
      <w:bookmarkStart w:id="25" w:name="StandardName"/>
      <w:bookmarkEnd w:id="25"/>
    </w:p>
    <w:p w:rsidR="004200D9" w:rsidRDefault="00F34B99" w:rsidP="004200D9">
      <w:pPr>
        <w:pStyle w:val="a1"/>
        <w:spacing w:before="312" w:after="312"/>
      </w:pPr>
      <w:bookmarkStart w:id="26" w:name="_Toc158136511"/>
      <w:bookmarkStart w:id="27" w:name="_Toc158136670"/>
      <w:r>
        <w:rPr>
          <w:rFonts w:hint="eastAsia"/>
        </w:rPr>
        <w:t>范围</w:t>
      </w:r>
      <w:bookmarkEnd w:id="26"/>
      <w:bookmarkEnd w:id="27"/>
    </w:p>
    <w:p w:rsidR="00F77A12" w:rsidRDefault="00F77A12" w:rsidP="00F77A12">
      <w:pPr>
        <w:pStyle w:val="aff6"/>
      </w:pPr>
      <w:r>
        <w:rPr>
          <w:rFonts w:hint="eastAsia"/>
        </w:rPr>
        <w:t>本文件规定了重点化工企业全流程自动化控制配备和提升的总则、通用规定以及原料处理、反应工序、精馏精制、产品包装、危险化学品储运、公用工程的要求。</w:t>
      </w:r>
    </w:p>
    <w:p w:rsidR="00F77A12" w:rsidRDefault="00F77A12" w:rsidP="00F77A12">
      <w:pPr>
        <w:pStyle w:val="aff6"/>
      </w:pPr>
      <w:r>
        <w:rPr>
          <w:rFonts w:hint="eastAsia"/>
        </w:rPr>
        <w:t>本文件适用于重点化工企业全流程自动化控制的配备和提升工作。</w:t>
      </w:r>
    </w:p>
    <w:p w:rsidR="0090690F" w:rsidRPr="0090690F" w:rsidRDefault="00F77A12" w:rsidP="00F77A12">
      <w:pPr>
        <w:pStyle w:val="aff6"/>
      </w:pPr>
      <w:r>
        <w:rPr>
          <w:rFonts w:hint="eastAsia"/>
        </w:rPr>
        <w:t>涉及到格氏反应的生产装置可参照执行。</w:t>
      </w:r>
    </w:p>
    <w:p w:rsidR="00F34B99" w:rsidRDefault="00F34B99" w:rsidP="003234E0">
      <w:pPr>
        <w:pStyle w:val="a1"/>
        <w:spacing w:before="312" w:after="312"/>
      </w:pPr>
      <w:bookmarkStart w:id="28" w:name="_Toc158136512"/>
      <w:bookmarkStart w:id="29" w:name="_Toc158136671"/>
      <w:r>
        <w:rPr>
          <w:rFonts w:hint="eastAsia"/>
        </w:rPr>
        <w:t>规范性引用文件</w:t>
      </w:r>
      <w:bookmarkEnd w:id="28"/>
      <w:bookmarkEnd w:id="29"/>
    </w:p>
    <w:p w:rsidR="008805AC" w:rsidRDefault="002527DD" w:rsidP="008805AC">
      <w:pPr>
        <w:pStyle w:val="aff6"/>
      </w:pPr>
      <w:r>
        <w:rPr>
          <w:rFonts w:hint="eastAsia"/>
        </w:rPr>
        <w:t>下列文件对于本文件的应用是必不可少的。凡是注日期的引用文件，仅</w:t>
      </w:r>
      <w:r w:rsidR="00F34B99">
        <w:rPr>
          <w:rFonts w:hint="eastAsia"/>
        </w:rPr>
        <w:t>注日期的版本适用于本文件。凡是不注日期的引用文件，其最新版本（包括所有的修改单）适用于本文件。</w:t>
      </w:r>
    </w:p>
    <w:p w:rsidR="00F77A12" w:rsidRDefault="00F77A12" w:rsidP="00F77A12">
      <w:pPr>
        <w:pStyle w:val="aff6"/>
      </w:pPr>
      <w:r>
        <w:rPr>
          <w:rFonts w:hint="eastAsia"/>
        </w:rPr>
        <w:t>GBZ 230  职业性接触毒物危害程度分级</w:t>
      </w:r>
    </w:p>
    <w:p w:rsidR="00F77A12" w:rsidRDefault="00F77A12" w:rsidP="00F77A12">
      <w:pPr>
        <w:pStyle w:val="aff6"/>
      </w:pPr>
      <w:r>
        <w:rPr>
          <w:rFonts w:hint="eastAsia"/>
        </w:rPr>
        <w:t>GB/T 42300  精细化工反应安全风险评估规范</w:t>
      </w:r>
    </w:p>
    <w:p w:rsidR="00F77A12" w:rsidRDefault="00F77A12" w:rsidP="00F77A12">
      <w:pPr>
        <w:pStyle w:val="aff6"/>
      </w:pPr>
      <w:r>
        <w:rPr>
          <w:rFonts w:hint="eastAsia"/>
        </w:rPr>
        <w:t>GB 50074  石油库设计规范</w:t>
      </w:r>
    </w:p>
    <w:p w:rsidR="00F77A12" w:rsidRDefault="00F77A12" w:rsidP="00F77A12">
      <w:pPr>
        <w:pStyle w:val="aff6"/>
      </w:pPr>
      <w:r>
        <w:rPr>
          <w:rFonts w:hint="eastAsia"/>
        </w:rPr>
        <w:t>GB 50160  石油化工企业设计防火标准</w:t>
      </w:r>
    </w:p>
    <w:p w:rsidR="00F77A12" w:rsidRDefault="00F77A12" w:rsidP="00F77A12">
      <w:pPr>
        <w:pStyle w:val="aff6"/>
      </w:pPr>
      <w:r>
        <w:rPr>
          <w:rFonts w:hint="eastAsia"/>
        </w:rPr>
        <w:t>GB/T 50493  石油化工可燃气体和有毒气体检测报警设计标准</w:t>
      </w:r>
    </w:p>
    <w:p w:rsidR="00F77A12" w:rsidRDefault="00F77A12" w:rsidP="00F77A12">
      <w:pPr>
        <w:pStyle w:val="aff6"/>
      </w:pPr>
      <w:r>
        <w:rPr>
          <w:rFonts w:hint="eastAsia"/>
        </w:rPr>
        <w:t>GB/T 50770  石油化工安全仪表系统设计规范</w:t>
      </w:r>
    </w:p>
    <w:p w:rsidR="00F77A12" w:rsidRDefault="00F77A12" w:rsidP="00F77A12">
      <w:pPr>
        <w:pStyle w:val="aff6"/>
      </w:pPr>
      <w:r>
        <w:rPr>
          <w:rFonts w:hint="eastAsia"/>
        </w:rPr>
        <w:t>GB/T 50779  石油化工建筑物抗爆设计标准</w:t>
      </w:r>
    </w:p>
    <w:p w:rsidR="00F77A12" w:rsidRDefault="00F77A12" w:rsidP="00F77A12">
      <w:pPr>
        <w:pStyle w:val="aff6"/>
      </w:pPr>
      <w:r>
        <w:rPr>
          <w:rFonts w:hint="eastAsia"/>
        </w:rPr>
        <w:t>GB 51066  工业企业干式煤气柜安全技术规范</w:t>
      </w:r>
    </w:p>
    <w:p w:rsidR="00F77A12" w:rsidRDefault="00F77A12" w:rsidP="00F77A12">
      <w:pPr>
        <w:pStyle w:val="aff6"/>
      </w:pPr>
      <w:r>
        <w:rPr>
          <w:rFonts w:hint="eastAsia"/>
        </w:rPr>
        <w:t>GB/T 51094  工业企业湿式气柜技术规范</w:t>
      </w:r>
    </w:p>
    <w:p w:rsidR="00F77A12" w:rsidRDefault="00F77A12" w:rsidP="00F77A12">
      <w:pPr>
        <w:pStyle w:val="aff6"/>
      </w:pPr>
      <w:r>
        <w:rPr>
          <w:rFonts w:hint="eastAsia"/>
        </w:rPr>
        <w:t>HG/T 20507  自动化仪表选型设计规范</w:t>
      </w:r>
    </w:p>
    <w:p w:rsidR="00F77A12" w:rsidRDefault="00F77A12" w:rsidP="00F77A12">
      <w:pPr>
        <w:pStyle w:val="aff6"/>
      </w:pPr>
      <w:r>
        <w:rPr>
          <w:rFonts w:hint="eastAsia"/>
        </w:rPr>
        <w:t>HG/T 20508  控制室设计规范</w:t>
      </w:r>
    </w:p>
    <w:p w:rsidR="00F77A12" w:rsidRDefault="00F77A12" w:rsidP="00F77A12">
      <w:pPr>
        <w:pStyle w:val="aff6"/>
      </w:pPr>
      <w:r>
        <w:rPr>
          <w:rFonts w:hint="eastAsia"/>
        </w:rPr>
        <w:t>HG/T 20510  仪表供气设计规范</w:t>
      </w:r>
    </w:p>
    <w:p w:rsidR="00F77A12" w:rsidRDefault="00F77A12" w:rsidP="00F77A12">
      <w:pPr>
        <w:pStyle w:val="aff6"/>
      </w:pPr>
      <w:r>
        <w:rPr>
          <w:rFonts w:hint="eastAsia"/>
        </w:rPr>
        <w:t>SH/T 3005  石油化工自动化仪表选型设计规范</w:t>
      </w:r>
    </w:p>
    <w:p w:rsidR="00F77A12" w:rsidRDefault="00F77A12" w:rsidP="00F77A12">
      <w:pPr>
        <w:pStyle w:val="aff6"/>
      </w:pPr>
      <w:r>
        <w:rPr>
          <w:rFonts w:hint="eastAsia"/>
        </w:rPr>
        <w:t>SH/T 3006  石油化工控制室设计规范</w:t>
      </w:r>
    </w:p>
    <w:p w:rsidR="00F77A12" w:rsidRDefault="00F77A12" w:rsidP="00F77A12">
      <w:pPr>
        <w:pStyle w:val="aff6"/>
      </w:pPr>
      <w:r>
        <w:rPr>
          <w:rFonts w:hint="eastAsia"/>
        </w:rPr>
        <w:t>SH/T 3007  石油化工储运系统罐区设计规范</w:t>
      </w:r>
    </w:p>
    <w:p w:rsidR="00F77A12" w:rsidRDefault="00F77A12" w:rsidP="00F77A12">
      <w:pPr>
        <w:pStyle w:val="aff6"/>
      </w:pPr>
      <w:r>
        <w:rPr>
          <w:rFonts w:hint="eastAsia"/>
        </w:rPr>
        <w:t>SHS 01036  气柜维护检修规程</w:t>
      </w:r>
    </w:p>
    <w:p w:rsidR="00F77A12" w:rsidRDefault="00F77A12" w:rsidP="00F77A12">
      <w:pPr>
        <w:pStyle w:val="aff6"/>
      </w:pPr>
      <w:r>
        <w:rPr>
          <w:rFonts w:hint="eastAsia"/>
        </w:rPr>
        <w:t>DB32/T 3617 氯气使用安全技术规范</w:t>
      </w:r>
    </w:p>
    <w:p w:rsidR="00F77A12" w:rsidRDefault="00F77A12" w:rsidP="00F77A12">
      <w:pPr>
        <w:pStyle w:val="aff6"/>
      </w:pPr>
      <w:r>
        <w:rPr>
          <w:rFonts w:hint="eastAsia"/>
        </w:rPr>
        <w:t>《关于公布首批重点监管的危险化工工艺目录的通知》（安监总管三〔2009〕116号）</w:t>
      </w:r>
    </w:p>
    <w:p w:rsidR="00F77A12" w:rsidRDefault="00F77A12" w:rsidP="00F77A12">
      <w:pPr>
        <w:pStyle w:val="aff6"/>
      </w:pPr>
      <w:r>
        <w:rPr>
          <w:rFonts w:hint="eastAsia"/>
        </w:rPr>
        <w:t>《关于公布第二批重点监管危险化工工艺目录和调整首批重点监管危险化工工艺中部分典型工艺的通知》（安监总管三〔2013〕3号）</w:t>
      </w:r>
    </w:p>
    <w:p w:rsidR="00F77A12" w:rsidRDefault="00F77A12" w:rsidP="00F77A12">
      <w:pPr>
        <w:pStyle w:val="aff6"/>
      </w:pPr>
      <w:r>
        <w:rPr>
          <w:rFonts w:hint="eastAsia"/>
        </w:rPr>
        <w:t>《关于加强精细化工反应安全风险评估工作的指导意见》（安监总管三〔2017〕1号）</w:t>
      </w:r>
    </w:p>
    <w:p w:rsidR="00F77A12" w:rsidRPr="008805AC" w:rsidRDefault="00F77A12" w:rsidP="00F77A12">
      <w:pPr>
        <w:pStyle w:val="aff6"/>
      </w:pPr>
      <w:r>
        <w:rPr>
          <w:rFonts w:hint="eastAsia"/>
        </w:rPr>
        <w:t>《关于印发蓄热式焚烧炉(RTO炉)系统安全技术要求(试行)》的通知》（苏应急〔2021〕46号）</w:t>
      </w:r>
    </w:p>
    <w:p w:rsidR="00DF5CC9" w:rsidRDefault="00F77A12" w:rsidP="00183FE1">
      <w:pPr>
        <w:pStyle w:val="a1"/>
        <w:spacing w:before="312" w:after="312"/>
      </w:pPr>
      <w:bookmarkStart w:id="30" w:name="_Toc158136513"/>
      <w:bookmarkStart w:id="31" w:name="_Toc158136672"/>
      <w:r>
        <w:rPr>
          <w:rFonts w:hint="eastAsia"/>
        </w:rPr>
        <w:t>术语和定义</w:t>
      </w:r>
      <w:bookmarkEnd w:id="30"/>
      <w:bookmarkEnd w:id="31"/>
    </w:p>
    <w:p w:rsidR="00F77A12" w:rsidRDefault="00976467" w:rsidP="00F77A12">
      <w:pPr>
        <w:pStyle w:val="aff6"/>
      </w:pPr>
      <w:r w:rsidRPr="00976467">
        <w:rPr>
          <w:rFonts w:hint="eastAsia"/>
        </w:rPr>
        <w:t>下列术语和定义适用于本文件</w:t>
      </w:r>
      <w:r>
        <w:rPr>
          <w:rFonts w:hint="eastAsia"/>
        </w:rPr>
        <w:t>。</w:t>
      </w:r>
    </w:p>
    <w:p w:rsidR="00976467" w:rsidRDefault="00976467" w:rsidP="00976467">
      <w:pPr>
        <w:pStyle w:val="a2"/>
        <w:spacing w:before="156" w:after="156"/>
      </w:pPr>
      <w:bookmarkStart w:id="32" w:name="_Toc158136514"/>
      <w:bookmarkEnd w:id="32"/>
    </w:p>
    <w:p w:rsidR="00976467" w:rsidRDefault="00976467" w:rsidP="00976467">
      <w:pPr>
        <w:widowControl/>
        <w:tabs>
          <w:tab w:val="center" w:pos="4201"/>
          <w:tab w:val="right" w:leader="dot" w:pos="9298"/>
        </w:tabs>
        <w:autoSpaceDE w:val="0"/>
        <w:autoSpaceDN w:val="0"/>
        <w:ind w:firstLineChars="200" w:firstLine="420"/>
        <w:rPr>
          <w:rFonts w:ascii="黑体" w:eastAsia="黑体" w:hAnsi="黑体"/>
          <w:noProof/>
          <w:kern w:val="0"/>
          <w:szCs w:val="20"/>
        </w:rPr>
      </w:pPr>
      <w:r>
        <w:rPr>
          <w:rFonts w:ascii="黑体" w:eastAsia="黑体" w:hAnsi="黑体" w:hint="eastAsia"/>
          <w:noProof/>
          <w:kern w:val="0"/>
          <w:szCs w:val="20"/>
        </w:rPr>
        <w:lastRenderedPageBreak/>
        <w:t>重点化工企业 key chemical enterprise</w:t>
      </w:r>
    </w:p>
    <w:p w:rsidR="00976467" w:rsidRDefault="00976467" w:rsidP="00976467">
      <w:pPr>
        <w:pStyle w:val="aff6"/>
      </w:pPr>
      <w:r>
        <w:rPr>
          <w:rFonts w:hint="eastAsia"/>
        </w:rPr>
        <w:t>涉及重点监管危险化工工艺的化工(含石油化工)、医药生产企业。（以下简称“企业”）</w:t>
      </w:r>
    </w:p>
    <w:p w:rsidR="00976467" w:rsidRDefault="00976467" w:rsidP="00976467">
      <w:pPr>
        <w:pStyle w:val="aff6"/>
      </w:pPr>
      <w:r>
        <w:rPr>
          <w:rFonts w:hint="eastAsia"/>
        </w:rPr>
        <w:t>注：重点监管危险化工工艺指安监总管三〔2009〕116号和安监总管三〔2013〕3号规定的18种化工工艺</w:t>
      </w:r>
    </w:p>
    <w:p w:rsidR="00976467" w:rsidRDefault="00976467" w:rsidP="00976467">
      <w:pPr>
        <w:pStyle w:val="a2"/>
        <w:spacing w:before="156" w:after="156"/>
      </w:pPr>
      <w:bookmarkStart w:id="33" w:name="_Toc158136515"/>
      <w:bookmarkEnd w:id="33"/>
    </w:p>
    <w:p w:rsidR="00976467" w:rsidRDefault="00976467" w:rsidP="00976467">
      <w:pPr>
        <w:widowControl/>
        <w:tabs>
          <w:tab w:val="center" w:pos="4201"/>
          <w:tab w:val="right" w:leader="dot" w:pos="9298"/>
        </w:tabs>
        <w:autoSpaceDE w:val="0"/>
        <w:autoSpaceDN w:val="0"/>
        <w:ind w:firstLineChars="200" w:firstLine="420"/>
        <w:rPr>
          <w:rFonts w:ascii="黑体" w:eastAsia="黑体" w:hAnsi="黑体"/>
          <w:noProof/>
          <w:kern w:val="0"/>
          <w:szCs w:val="20"/>
        </w:rPr>
      </w:pPr>
      <w:r>
        <w:rPr>
          <w:rFonts w:ascii="黑体" w:eastAsia="黑体" w:hAnsi="黑体" w:hint="eastAsia"/>
          <w:noProof/>
          <w:kern w:val="0"/>
          <w:szCs w:val="20"/>
        </w:rPr>
        <w:t>全流程 whole process</w:t>
      </w:r>
    </w:p>
    <w:p w:rsidR="00976467" w:rsidRDefault="00976467" w:rsidP="00976467">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与重点监管危险化工工艺存在上、下游关系的生产过程（含配套装置），包括原料处理、反应工序、精馏精制、产品包装、危险化学品储运及配套公用工程。</w:t>
      </w:r>
    </w:p>
    <w:p w:rsidR="00976467" w:rsidRDefault="00976467" w:rsidP="00976467">
      <w:pPr>
        <w:pStyle w:val="a2"/>
        <w:spacing w:before="156" w:after="156"/>
      </w:pPr>
      <w:bookmarkStart w:id="34" w:name="_Toc158136516"/>
      <w:bookmarkEnd w:id="34"/>
    </w:p>
    <w:p w:rsidR="00976467" w:rsidRDefault="00976467" w:rsidP="00976467">
      <w:pPr>
        <w:widowControl/>
        <w:tabs>
          <w:tab w:val="center" w:pos="4201"/>
          <w:tab w:val="right" w:leader="dot" w:pos="9298"/>
        </w:tabs>
        <w:autoSpaceDE w:val="0"/>
        <w:autoSpaceDN w:val="0"/>
        <w:ind w:firstLineChars="200" w:firstLine="420"/>
        <w:rPr>
          <w:rFonts w:ascii="黑体" w:eastAsia="黑体" w:hAnsi="黑体"/>
          <w:noProof/>
          <w:kern w:val="0"/>
          <w:szCs w:val="20"/>
        </w:rPr>
      </w:pPr>
      <w:r>
        <w:rPr>
          <w:rFonts w:ascii="黑体" w:eastAsia="黑体" w:hAnsi="黑体" w:hint="eastAsia"/>
          <w:noProof/>
          <w:kern w:val="0"/>
          <w:szCs w:val="20"/>
        </w:rPr>
        <w:t>有毒液体 toxic liquid</w:t>
      </w:r>
    </w:p>
    <w:p w:rsidR="00976467" w:rsidRDefault="00976467" w:rsidP="00976467">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按GBZ 230的规定，毒性程度划分为极度危害(Ⅰ级)、高度危害(Ⅱ级)、中度危害(Ⅲ级)和轻度危害(Ⅳ级)的液体。</w:t>
      </w:r>
    </w:p>
    <w:p w:rsidR="00976467" w:rsidRDefault="00976467" w:rsidP="00976467">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[来源：GB 50074-2014，2.0.38]</w:t>
      </w:r>
    </w:p>
    <w:p w:rsidR="00976467" w:rsidRDefault="00976467" w:rsidP="00976467">
      <w:pPr>
        <w:pStyle w:val="a2"/>
        <w:spacing w:before="156" w:after="156"/>
      </w:pPr>
      <w:bookmarkStart w:id="35" w:name="_Toc158136517"/>
      <w:bookmarkEnd w:id="35"/>
    </w:p>
    <w:p w:rsidR="00976467" w:rsidRDefault="00976467" w:rsidP="00976467">
      <w:pPr>
        <w:widowControl/>
        <w:tabs>
          <w:tab w:val="center" w:pos="4201"/>
          <w:tab w:val="right" w:leader="dot" w:pos="9298"/>
        </w:tabs>
        <w:autoSpaceDE w:val="0"/>
        <w:autoSpaceDN w:val="0"/>
        <w:ind w:firstLineChars="200" w:firstLine="420"/>
        <w:rPr>
          <w:rFonts w:ascii="黑体" w:eastAsia="黑体" w:hAnsi="黑体"/>
          <w:noProof/>
          <w:kern w:val="0"/>
          <w:szCs w:val="20"/>
        </w:rPr>
      </w:pPr>
      <w:r>
        <w:rPr>
          <w:rFonts w:ascii="黑体" w:eastAsia="黑体" w:hAnsi="黑体" w:hint="eastAsia"/>
          <w:noProof/>
          <w:kern w:val="0"/>
          <w:szCs w:val="20"/>
        </w:rPr>
        <w:t>有毒气体 toxic gas</w:t>
      </w:r>
    </w:p>
    <w:p w:rsidR="00976467" w:rsidRDefault="00976467" w:rsidP="00976467">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劳动者在职业活动过程中，通过皮肤接触或呼吸可导致死亡或永久性健康伤害的毒性气体或毒性蒸汽。</w:t>
      </w:r>
    </w:p>
    <w:p w:rsidR="00976467" w:rsidRDefault="00976467" w:rsidP="00976467">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[来源：GB/T 50493-2019，2.0.2]</w:t>
      </w:r>
    </w:p>
    <w:p w:rsidR="00976467" w:rsidRDefault="00976467" w:rsidP="00976467">
      <w:pPr>
        <w:pStyle w:val="a1"/>
        <w:spacing w:before="312" w:after="312"/>
      </w:pPr>
      <w:bookmarkStart w:id="36" w:name="_Toc158136518"/>
      <w:bookmarkStart w:id="37" w:name="_Toc158136673"/>
      <w:r>
        <w:rPr>
          <w:rFonts w:hint="eastAsia"/>
        </w:rPr>
        <w:t>缩略语</w:t>
      </w:r>
      <w:bookmarkEnd w:id="36"/>
      <w:bookmarkEnd w:id="37"/>
    </w:p>
    <w:p w:rsidR="00976467" w:rsidRDefault="00976467" w:rsidP="00976467">
      <w:pPr>
        <w:pStyle w:val="aff6"/>
      </w:pPr>
      <w:r>
        <w:rPr>
          <w:rFonts w:hint="eastAsia"/>
        </w:rPr>
        <w:t>BPCS （Basic Process Control System） 基本过程控制系统</w:t>
      </w:r>
    </w:p>
    <w:p w:rsidR="00976467" w:rsidRDefault="00976467" w:rsidP="00976467">
      <w:pPr>
        <w:pStyle w:val="aff6"/>
      </w:pPr>
      <w:r>
        <w:rPr>
          <w:rFonts w:hint="eastAsia"/>
        </w:rPr>
        <w:t>GDS （Gas Detection System） 可燃和有毒气体检测报警系统</w:t>
      </w:r>
    </w:p>
    <w:p w:rsidR="00976467" w:rsidRDefault="00976467" w:rsidP="00976467">
      <w:pPr>
        <w:pStyle w:val="aff6"/>
      </w:pPr>
      <w:r>
        <w:rPr>
          <w:rFonts w:hint="eastAsia"/>
        </w:rPr>
        <w:t>FC （Fail Closed） 故障关闭</w:t>
      </w:r>
    </w:p>
    <w:p w:rsidR="00976467" w:rsidRDefault="00976467" w:rsidP="00976467">
      <w:pPr>
        <w:pStyle w:val="aff6"/>
      </w:pPr>
      <w:r>
        <w:rPr>
          <w:rFonts w:hint="eastAsia"/>
        </w:rPr>
        <w:t>FL （Fail Last）   故障保持</w:t>
      </w:r>
    </w:p>
    <w:p w:rsidR="00976467" w:rsidRDefault="00976467" w:rsidP="00976467">
      <w:pPr>
        <w:pStyle w:val="aff6"/>
      </w:pPr>
      <w:r>
        <w:rPr>
          <w:rFonts w:hint="eastAsia"/>
        </w:rPr>
        <w:t>FO （Fail Open）    故障开启</w:t>
      </w:r>
    </w:p>
    <w:p w:rsidR="00976467" w:rsidRDefault="00976467" w:rsidP="00976467">
      <w:pPr>
        <w:pStyle w:val="aff6"/>
      </w:pPr>
      <w:r>
        <w:rPr>
          <w:rFonts w:hint="eastAsia"/>
        </w:rPr>
        <w:t>HAZOP （Hazardous and Operation） 危险与可操作性分析</w:t>
      </w:r>
    </w:p>
    <w:p w:rsidR="00976467" w:rsidRDefault="00976467" w:rsidP="00976467">
      <w:pPr>
        <w:pStyle w:val="aff6"/>
      </w:pPr>
      <w:r>
        <w:rPr>
          <w:rFonts w:hint="eastAsia"/>
        </w:rPr>
        <w:t>LOPA （Layer of Protection Analysis） 保护层分析</w:t>
      </w:r>
    </w:p>
    <w:p w:rsidR="00976467" w:rsidRDefault="00976467" w:rsidP="00976467">
      <w:pPr>
        <w:pStyle w:val="aff6"/>
      </w:pPr>
      <w:r>
        <w:rPr>
          <w:rFonts w:hint="eastAsia"/>
        </w:rPr>
        <w:t>P&amp;ID （Piping &amp; Instrument Diagram） 管道及仪表流程图</w:t>
      </w:r>
    </w:p>
    <w:p w:rsidR="00976467" w:rsidRDefault="00976467" w:rsidP="00976467">
      <w:pPr>
        <w:pStyle w:val="aff6"/>
      </w:pPr>
      <w:r>
        <w:rPr>
          <w:rFonts w:hint="eastAsia"/>
        </w:rPr>
        <w:t>SIL （Safety Integrity Level） 安全完整性等级</w:t>
      </w:r>
    </w:p>
    <w:p w:rsidR="00976467" w:rsidRDefault="00976467" w:rsidP="00976467">
      <w:pPr>
        <w:pStyle w:val="aff6"/>
      </w:pPr>
      <w:r>
        <w:rPr>
          <w:rFonts w:hint="eastAsia"/>
        </w:rPr>
        <w:t>SIS （Safety Instrumentation System） 安全仪表系统</w:t>
      </w:r>
    </w:p>
    <w:p w:rsidR="00976467" w:rsidRDefault="00976467" w:rsidP="00976467">
      <w:pPr>
        <w:pStyle w:val="aff6"/>
      </w:pPr>
      <w:r>
        <w:rPr>
          <w:rFonts w:hint="eastAsia"/>
        </w:rPr>
        <w:t>UPS （Uninterruptible Power Supply） 不间断电源</w:t>
      </w:r>
    </w:p>
    <w:p w:rsidR="00976467" w:rsidRDefault="00976467" w:rsidP="00976467">
      <w:pPr>
        <w:pStyle w:val="aff6"/>
      </w:pPr>
      <w:r>
        <w:rPr>
          <w:rFonts w:hint="eastAsia"/>
        </w:rPr>
        <w:t>RTO （Regenerative Thermal Oxidizer） 蓄热式焚烧炉</w:t>
      </w:r>
    </w:p>
    <w:p w:rsidR="00976467" w:rsidRDefault="00976467" w:rsidP="00976467">
      <w:pPr>
        <w:pStyle w:val="a1"/>
        <w:spacing w:before="312" w:after="312"/>
      </w:pPr>
      <w:bookmarkStart w:id="38" w:name="_Toc158136519"/>
      <w:bookmarkStart w:id="39" w:name="_Toc158136674"/>
      <w:r>
        <w:rPr>
          <w:rFonts w:hint="eastAsia"/>
        </w:rPr>
        <w:t>总则</w:t>
      </w:r>
      <w:bookmarkEnd w:id="38"/>
      <w:bookmarkEnd w:id="39"/>
    </w:p>
    <w:p w:rsidR="00976467" w:rsidRPr="00976467" w:rsidRDefault="00976467" w:rsidP="00976467">
      <w:pPr>
        <w:pStyle w:val="a2"/>
        <w:spacing w:before="156" w:after="156"/>
        <w:rPr>
          <w:rFonts w:asciiTheme="minorEastAsia" w:eastAsiaTheme="minorEastAsia" w:hAnsiTheme="minorEastAsia"/>
        </w:rPr>
      </w:pPr>
      <w:bookmarkStart w:id="40" w:name="_Toc158136520"/>
      <w:r w:rsidRPr="00976467">
        <w:rPr>
          <w:rFonts w:asciiTheme="minorEastAsia" w:eastAsiaTheme="minorEastAsia" w:hAnsiTheme="minorEastAsia" w:hint="eastAsia"/>
        </w:rPr>
        <w:t>企业全流程自动化控制配备和提升应以控制风险为目的，满足安监总管三〔2009〕116号和安监总管三〔2013〕3号提出的安全控制基本要求。</w:t>
      </w:r>
      <w:bookmarkEnd w:id="40"/>
    </w:p>
    <w:p w:rsidR="00976467" w:rsidRPr="00976467" w:rsidRDefault="00976467" w:rsidP="00976467">
      <w:pPr>
        <w:pStyle w:val="a2"/>
        <w:spacing w:before="156" w:after="156"/>
        <w:rPr>
          <w:rFonts w:asciiTheme="minorEastAsia" w:eastAsiaTheme="minorEastAsia" w:hAnsiTheme="minorEastAsia"/>
        </w:rPr>
      </w:pPr>
      <w:bookmarkStart w:id="41" w:name="_Toc158136521"/>
      <w:r w:rsidRPr="00976467">
        <w:rPr>
          <w:rFonts w:asciiTheme="minorEastAsia" w:eastAsiaTheme="minorEastAsia" w:hAnsiTheme="minorEastAsia" w:hint="eastAsia"/>
        </w:rPr>
        <w:t>企业应对全流程开展危险与可操作性分析（HAZOP）和保护层分析（LOPA)，并应根据分析结果实施全流程自动化控制的配备和提升。</w:t>
      </w:r>
      <w:bookmarkEnd w:id="41"/>
    </w:p>
    <w:p w:rsidR="00976467" w:rsidRPr="00976467" w:rsidRDefault="00976467" w:rsidP="00976467">
      <w:pPr>
        <w:pStyle w:val="a2"/>
        <w:spacing w:before="156" w:after="156"/>
        <w:rPr>
          <w:rFonts w:asciiTheme="minorEastAsia" w:eastAsiaTheme="minorEastAsia" w:hAnsiTheme="minorEastAsia"/>
        </w:rPr>
      </w:pPr>
      <w:bookmarkStart w:id="42" w:name="_Toc158136522"/>
      <w:r w:rsidRPr="00976467">
        <w:rPr>
          <w:rFonts w:asciiTheme="minorEastAsia" w:eastAsiaTheme="minorEastAsia" w:hAnsiTheme="minorEastAsia" w:hint="eastAsia"/>
        </w:rPr>
        <w:lastRenderedPageBreak/>
        <w:t>企业应按照安监总管三〔2017〕1号和GB/T 42300的要求完成反应安全风险评估。涉及硝化、氯化、氟化、重氮化、过氧化工艺的企业应完成全流程（不含公用工程）反应安全风险评估，同时对相关原料、中间产品、产品及副产物进行热稳定性测试和蒸馏、干燥、储存等单元操作的风险评估。企业应采纳反应安全风险评估报告提出的反应工艺危险度等级和评估建议并制定相应的对策措施。</w:t>
      </w:r>
      <w:bookmarkEnd w:id="42"/>
    </w:p>
    <w:p w:rsidR="00976467" w:rsidRPr="00976467" w:rsidRDefault="00976467" w:rsidP="00976467">
      <w:pPr>
        <w:pStyle w:val="a2"/>
        <w:spacing w:before="156" w:after="156"/>
        <w:rPr>
          <w:rFonts w:asciiTheme="minorEastAsia" w:eastAsiaTheme="minorEastAsia" w:hAnsiTheme="minorEastAsia"/>
        </w:rPr>
      </w:pPr>
      <w:bookmarkStart w:id="43" w:name="_Toc158136523"/>
      <w:r w:rsidRPr="00976467">
        <w:rPr>
          <w:rFonts w:asciiTheme="minorEastAsia" w:eastAsiaTheme="minorEastAsia" w:hAnsiTheme="minorEastAsia" w:hint="eastAsia"/>
        </w:rPr>
        <w:t>企业应委托具备规定资质的设计单位进行全流程自动化控制设计。</w:t>
      </w:r>
      <w:bookmarkEnd w:id="43"/>
    </w:p>
    <w:p w:rsidR="00976467" w:rsidRDefault="00976467" w:rsidP="00976467">
      <w:pPr>
        <w:pStyle w:val="a2"/>
        <w:numPr>
          <w:ilvl w:val="0"/>
          <w:numId w:val="0"/>
        </w:numPr>
        <w:spacing w:before="156" w:after="156"/>
        <w:rPr>
          <w:rFonts w:asciiTheme="minorEastAsia" w:eastAsiaTheme="minorEastAsia" w:hAnsiTheme="minorEastAsia"/>
        </w:rPr>
      </w:pPr>
      <w:bookmarkStart w:id="44" w:name="_Toc158136524"/>
      <w:r w:rsidRPr="00D01A63">
        <w:rPr>
          <w:rFonts w:hAnsi="黑体" w:hint="eastAsia"/>
        </w:rPr>
        <w:t>5.5</w:t>
      </w:r>
      <w:r w:rsidRPr="00976467">
        <w:rPr>
          <w:rFonts w:asciiTheme="minorEastAsia" w:eastAsiaTheme="minorEastAsia" w:hAnsiTheme="minorEastAsia" w:hint="eastAsia"/>
        </w:rPr>
        <w:t xml:space="preserve">　除应执行本文件外，尚应符合国家现行的有关标准的规定。</w:t>
      </w:r>
      <w:bookmarkEnd w:id="44"/>
    </w:p>
    <w:p w:rsidR="00D01A63" w:rsidRDefault="00D01A63" w:rsidP="00D01A63">
      <w:pPr>
        <w:pStyle w:val="a1"/>
        <w:spacing w:before="312" w:after="312"/>
      </w:pPr>
      <w:bookmarkStart w:id="45" w:name="_Toc158136525"/>
      <w:bookmarkStart w:id="46" w:name="_Toc158136675"/>
      <w:r>
        <w:rPr>
          <w:rFonts w:hint="eastAsia"/>
        </w:rPr>
        <w:t>通用规定</w:t>
      </w:r>
      <w:bookmarkEnd w:id="45"/>
      <w:bookmarkEnd w:id="46"/>
    </w:p>
    <w:p w:rsidR="00D01A63" w:rsidRPr="00D01A63" w:rsidRDefault="00D01A63" w:rsidP="00D01A63">
      <w:pPr>
        <w:pStyle w:val="a2"/>
        <w:spacing w:before="156" w:after="156"/>
        <w:rPr>
          <w:rFonts w:asciiTheme="minorEastAsia" w:eastAsiaTheme="minorEastAsia" w:hAnsiTheme="minorEastAsia"/>
        </w:rPr>
      </w:pPr>
      <w:bookmarkStart w:id="47" w:name="_Toc158136526"/>
      <w:r w:rsidRPr="00D01A63">
        <w:rPr>
          <w:rFonts w:asciiTheme="minorEastAsia" w:eastAsiaTheme="minorEastAsia" w:hAnsiTheme="minorEastAsia" w:hint="eastAsia"/>
        </w:rPr>
        <w:t>BPCS的主要工艺流程应与P&amp;ID和现场一致，BPCS、SIS的逻辑关系应与P&amp;ID和现场相符。BPCS及SIS的参数设置应与操作规程一致并符合设计要求。</w:t>
      </w:r>
      <w:bookmarkEnd w:id="47"/>
    </w:p>
    <w:p w:rsidR="00D01A63" w:rsidRPr="00D01A63" w:rsidRDefault="00D01A63" w:rsidP="00D01A63">
      <w:pPr>
        <w:pStyle w:val="a2"/>
        <w:spacing w:before="156" w:after="156"/>
        <w:rPr>
          <w:rFonts w:asciiTheme="minorEastAsia" w:eastAsiaTheme="minorEastAsia" w:hAnsiTheme="minorEastAsia"/>
        </w:rPr>
      </w:pPr>
      <w:bookmarkStart w:id="48" w:name="_Toc158136527"/>
      <w:r w:rsidRPr="00D01A63">
        <w:rPr>
          <w:rFonts w:asciiTheme="minorEastAsia" w:eastAsiaTheme="minorEastAsia" w:hAnsiTheme="minorEastAsia" w:hint="eastAsia"/>
        </w:rPr>
        <w:t>BPCS和SIS应设置管理权限，岗位操作人员不应有修改自动化控制系统工艺指标、报警阈值、</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阈值和摘除</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的权限，修改自动化控制系统工艺指标、报警阈值、</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阈值和摘除</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必须履行变更管理流程。</w:t>
      </w:r>
      <w:bookmarkEnd w:id="48"/>
    </w:p>
    <w:p w:rsidR="00D01A63" w:rsidRPr="00D01A63" w:rsidRDefault="00D01A63" w:rsidP="00D01A63">
      <w:pPr>
        <w:pStyle w:val="a2"/>
        <w:spacing w:before="156" w:after="156"/>
        <w:rPr>
          <w:rFonts w:asciiTheme="minorEastAsia" w:eastAsiaTheme="minorEastAsia" w:hAnsiTheme="minorEastAsia"/>
        </w:rPr>
      </w:pPr>
      <w:bookmarkStart w:id="49" w:name="_Toc158136528"/>
      <w:r w:rsidRPr="00D01A63">
        <w:rPr>
          <w:rFonts w:asciiTheme="minorEastAsia" w:eastAsiaTheme="minorEastAsia" w:hAnsiTheme="minorEastAsia" w:hint="eastAsia"/>
        </w:rPr>
        <w:t>企业应定期维护和测试BPCS、SIS、GDS等，保证系统完好并处于正常投用状态。</w:t>
      </w:r>
      <w:bookmarkEnd w:id="49"/>
    </w:p>
    <w:p w:rsidR="00D01A63" w:rsidRPr="00D01A63" w:rsidRDefault="00D01A63" w:rsidP="00D01A63">
      <w:pPr>
        <w:pStyle w:val="a2"/>
        <w:spacing w:before="156" w:after="156"/>
        <w:rPr>
          <w:rFonts w:asciiTheme="minorEastAsia" w:eastAsiaTheme="minorEastAsia" w:hAnsiTheme="minorEastAsia"/>
        </w:rPr>
      </w:pPr>
      <w:bookmarkStart w:id="50" w:name="_Toc158136529"/>
      <w:r w:rsidRPr="00D01A63">
        <w:rPr>
          <w:rFonts w:asciiTheme="minorEastAsia" w:eastAsiaTheme="minorEastAsia" w:hAnsiTheme="minorEastAsia" w:hint="eastAsia"/>
        </w:rPr>
        <w:t>企业应设置区域性控制室或中央控制室，并符合GB 50160、HG/T 20508或SH/T 3006等要求；具有火灾、爆炸危险性的已建生产装置、储存设施的控制室和机柜间，布置在装置区内的，应按照GB/T 50779进行抗爆评估、加固。</w:t>
      </w:r>
      <w:bookmarkEnd w:id="50"/>
    </w:p>
    <w:p w:rsidR="00D01A63" w:rsidRPr="00D01A63" w:rsidRDefault="00D01A63" w:rsidP="00D01A63">
      <w:pPr>
        <w:pStyle w:val="a2"/>
        <w:spacing w:before="156" w:after="156"/>
        <w:rPr>
          <w:rFonts w:asciiTheme="minorEastAsia" w:eastAsiaTheme="minorEastAsia" w:hAnsiTheme="minorEastAsia"/>
        </w:rPr>
      </w:pPr>
      <w:bookmarkStart w:id="51" w:name="_Toc158136530"/>
      <w:r w:rsidRPr="00D01A63">
        <w:rPr>
          <w:rFonts w:asciiTheme="minorEastAsia" w:eastAsiaTheme="minorEastAsia" w:hAnsiTheme="minorEastAsia" w:hint="eastAsia"/>
        </w:rPr>
        <w:t>重点监控工艺参数应传送至控制室集中显示。自动化控制系统应具备远程调节、信息存储、连续记录、超限报警、安全</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、紧急停车等功能。记录的电子数据保存时间不少于180天。</w:t>
      </w:r>
      <w:bookmarkEnd w:id="51"/>
    </w:p>
    <w:p w:rsidR="00D01A63" w:rsidRPr="00D01A63" w:rsidRDefault="00D01A63" w:rsidP="00D01A63">
      <w:pPr>
        <w:pStyle w:val="a2"/>
        <w:spacing w:before="156" w:after="156"/>
        <w:rPr>
          <w:rFonts w:asciiTheme="minorEastAsia" w:eastAsiaTheme="minorEastAsia" w:hAnsiTheme="minorEastAsia"/>
        </w:rPr>
      </w:pPr>
      <w:bookmarkStart w:id="52" w:name="_Toc158136531"/>
      <w:r w:rsidRPr="00D01A63">
        <w:rPr>
          <w:rFonts w:asciiTheme="minorEastAsia" w:eastAsiaTheme="minorEastAsia" w:hAnsiTheme="minorEastAsia" w:hint="eastAsia"/>
        </w:rPr>
        <w:t>液位、压力、温度、流量等测量仪表的选型、安装等应符合SH/T 3005、SH/T 3007或HG/T 20507等要求。</w:t>
      </w:r>
      <w:bookmarkEnd w:id="52"/>
    </w:p>
    <w:p w:rsidR="00D01A63" w:rsidRPr="00D01A63" w:rsidRDefault="00D01A63" w:rsidP="00D01A63">
      <w:pPr>
        <w:pStyle w:val="a2"/>
        <w:spacing w:before="156" w:after="156"/>
        <w:rPr>
          <w:rFonts w:asciiTheme="minorEastAsia" w:eastAsiaTheme="minorEastAsia" w:hAnsiTheme="minorEastAsia"/>
        </w:rPr>
      </w:pPr>
      <w:bookmarkStart w:id="53" w:name="_Toc158136532"/>
      <w:r w:rsidRPr="00D01A63">
        <w:rPr>
          <w:rFonts w:asciiTheme="minorEastAsia" w:eastAsiaTheme="minorEastAsia" w:hAnsiTheme="minorEastAsia" w:hint="eastAsia"/>
        </w:rPr>
        <w:t>有可靠的仪表空气系统时，开关阀（紧急切断阀）应首选气动执行机构，且采用FC或FO型；工艺要求采用FL型时，应选用双作用气缸执行机构，配有仪表空气罐，阀门保位时间不低于48小时；无仪表气源、有一级负荷的电源系统时，可选用电动阀；工艺、转动设备有特殊要求时，也可选用电液开关阀。</w:t>
      </w:r>
      <w:bookmarkEnd w:id="53"/>
    </w:p>
    <w:p w:rsidR="00D01A63" w:rsidRPr="00D01A63" w:rsidRDefault="00D01A63" w:rsidP="00D01A63">
      <w:pPr>
        <w:pStyle w:val="a2"/>
        <w:spacing w:before="156" w:after="156"/>
        <w:rPr>
          <w:rFonts w:asciiTheme="minorEastAsia" w:eastAsiaTheme="minorEastAsia" w:hAnsiTheme="minorEastAsia"/>
        </w:rPr>
      </w:pPr>
      <w:bookmarkStart w:id="54" w:name="_Toc158136533"/>
      <w:r w:rsidRPr="00D01A63">
        <w:rPr>
          <w:rFonts w:asciiTheme="minorEastAsia" w:eastAsiaTheme="minorEastAsia" w:hAnsiTheme="minorEastAsia" w:hint="eastAsia"/>
        </w:rPr>
        <w:t>安全仪表系统应符合GB/T 50770要求，并满足安全仪表功能及其风险降低要求，安全完整性等级（SIL）为2级及以上的，测量元件、逻辑控制器、执行元件应独立设置。</w:t>
      </w:r>
      <w:bookmarkEnd w:id="54"/>
    </w:p>
    <w:p w:rsidR="00D01A63" w:rsidRPr="00D01A63" w:rsidRDefault="00D01A63" w:rsidP="00D01A63">
      <w:pPr>
        <w:pStyle w:val="a2"/>
        <w:spacing w:before="156" w:after="156"/>
        <w:rPr>
          <w:rFonts w:asciiTheme="minorEastAsia" w:eastAsiaTheme="minorEastAsia" w:hAnsiTheme="minorEastAsia"/>
        </w:rPr>
      </w:pPr>
      <w:bookmarkStart w:id="55" w:name="_Toc158136534"/>
      <w:r w:rsidRPr="00D01A63">
        <w:rPr>
          <w:rFonts w:asciiTheme="minorEastAsia" w:eastAsiaTheme="minorEastAsia" w:hAnsiTheme="minorEastAsia" w:hint="eastAsia"/>
        </w:rPr>
        <w:t>BPCS与SIS的电源应满足一级供电负荷要求，并应配备UPS，UPS供电时间不低于30min。</w:t>
      </w:r>
      <w:bookmarkEnd w:id="55"/>
    </w:p>
    <w:p w:rsidR="00D01A63" w:rsidRPr="00D01A63" w:rsidRDefault="00D01A63" w:rsidP="00D01A63">
      <w:pPr>
        <w:pStyle w:val="a2"/>
        <w:spacing w:before="156" w:after="156"/>
        <w:rPr>
          <w:rFonts w:asciiTheme="minorEastAsia" w:eastAsiaTheme="minorEastAsia" w:hAnsiTheme="minorEastAsia"/>
        </w:rPr>
      </w:pPr>
      <w:bookmarkStart w:id="56" w:name="_Toc158136535"/>
      <w:r w:rsidRPr="00D01A63">
        <w:rPr>
          <w:rFonts w:asciiTheme="minorEastAsia" w:eastAsiaTheme="minorEastAsia" w:hAnsiTheme="minorEastAsia" w:hint="eastAsia"/>
        </w:rPr>
        <w:t>涉及有毒气体的生产、使用、储存设施发生泄漏或其他应急状况时，其应急处置系统应具备</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启动功能。</w:t>
      </w:r>
      <w:bookmarkEnd w:id="56"/>
    </w:p>
    <w:p w:rsidR="00D01A63" w:rsidRPr="00D01A63" w:rsidRDefault="00D01A63" w:rsidP="00D01A63">
      <w:pPr>
        <w:pStyle w:val="a2"/>
        <w:spacing w:before="156" w:after="156"/>
        <w:rPr>
          <w:rFonts w:asciiTheme="minorEastAsia" w:eastAsiaTheme="minorEastAsia" w:hAnsiTheme="minorEastAsia"/>
        </w:rPr>
      </w:pPr>
      <w:bookmarkStart w:id="57" w:name="_Toc158136536"/>
      <w:r w:rsidRPr="00D01A63">
        <w:rPr>
          <w:rFonts w:asciiTheme="minorEastAsia" w:eastAsiaTheme="minorEastAsia" w:hAnsiTheme="minorEastAsia" w:hint="eastAsia"/>
        </w:rPr>
        <w:t>处于备用状态的有毒气体应急处置系统应设置远程和就地一键启动功能，引风机宜设置备用，备用风机应具备自启动功能。吸收剂</w:t>
      </w:r>
      <w:proofErr w:type="gramStart"/>
      <w:r w:rsidRPr="00D01A63">
        <w:rPr>
          <w:rFonts w:asciiTheme="minorEastAsia" w:eastAsiaTheme="minorEastAsia" w:hAnsiTheme="minorEastAsia" w:hint="eastAsia"/>
        </w:rPr>
        <w:t>循环泵应设置</w:t>
      </w:r>
      <w:proofErr w:type="gramEnd"/>
      <w:r w:rsidRPr="00D01A63">
        <w:rPr>
          <w:rFonts w:asciiTheme="minorEastAsia" w:eastAsiaTheme="minorEastAsia" w:hAnsiTheme="minorEastAsia" w:hint="eastAsia"/>
        </w:rPr>
        <w:t>备用，备用泵应具备低压或低流量自启动功能，用电负荷应为一级负荷。</w:t>
      </w:r>
      <w:bookmarkEnd w:id="57"/>
    </w:p>
    <w:p w:rsidR="00D01A63" w:rsidRPr="00D01A63" w:rsidRDefault="00D01A63" w:rsidP="00D01A63">
      <w:pPr>
        <w:pStyle w:val="a2"/>
        <w:spacing w:before="156" w:after="156"/>
        <w:rPr>
          <w:rFonts w:asciiTheme="minorEastAsia" w:eastAsiaTheme="minorEastAsia" w:hAnsiTheme="minorEastAsia"/>
        </w:rPr>
      </w:pPr>
      <w:bookmarkStart w:id="58" w:name="_Toc158136537"/>
      <w:r w:rsidRPr="00D01A63">
        <w:rPr>
          <w:rFonts w:asciiTheme="minorEastAsia" w:eastAsiaTheme="minorEastAsia" w:hAnsiTheme="minorEastAsia" w:hint="eastAsia"/>
        </w:rPr>
        <w:t>工艺过程涉及</w:t>
      </w:r>
      <w:r w:rsidR="0030164C">
        <w:rPr>
          <w:rFonts w:asciiTheme="minorEastAsia" w:eastAsiaTheme="minorEastAsia" w:hAnsiTheme="minorEastAsia" w:hint="eastAsia"/>
        </w:rPr>
        <w:t>的</w:t>
      </w:r>
      <w:r w:rsidRPr="00D01A63">
        <w:rPr>
          <w:rFonts w:asciiTheme="minorEastAsia" w:eastAsiaTheme="minorEastAsia" w:hAnsiTheme="minorEastAsia" w:hint="eastAsia"/>
        </w:rPr>
        <w:t>调配、配制等宜采取自动化控制和操作。</w:t>
      </w:r>
      <w:bookmarkEnd w:id="58"/>
    </w:p>
    <w:p w:rsidR="00D01A63" w:rsidRDefault="00D01A63" w:rsidP="00D01A63">
      <w:pPr>
        <w:pStyle w:val="a1"/>
        <w:spacing w:before="312" w:after="312"/>
      </w:pPr>
      <w:bookmarkStart w:id="59" w:name="_Toc158136538"/>
      <w:bookmarkStart w:id="60" w:name="_Toc158136676"/>
      <w:r>
        <w:rPr>
          <w:rFonts w:hint="eastAsia"/>
        </w:rPr>
        <w:t>原料处理</w:t>
      </w:r>
      <w:bookmarkEnd w:id="59"/>
      <w:bookmarkEnd w:id="60"/>
    </w:p>
    <w:p w:rsidR="00D01A63" w:rsidRPr="00D01A63" w:rsidRDefault="00D01A63" w:rsidP="00D01A63">
      <w:pPr>
        <w:pStyle w:val="a2"/>
        <w:spacing w:before="156" w:after="156"/>
        <w:rPr>
          <w:rFonts w:asciiTheme="minorEastAsia" w:eastAsiaTheme="minorEastAsia" w:hAnsiTheme="minorEastAsia"/>
        </w:rPr>
      </w:pPr>
      <w:bookmarkStart w:id="61" w:name="_Toc158136539"/>
      <w:r w:rsidRPr="00D01A63">
        <w:rPr>
          <w:rFonts w:asciiTheme="minorEastAsia" w:eastAsiaTheme="minorEastAsia" w:hAnsiTheme="minorEastAsia" w:hint="eastAsia"/>
        </w:rPr>
        <w:lastRenderedPageBreak/>
        <w:t>涉及可燃、有毒等原料相变工艺过程（如熔融、气化、升华等）的设施，应设置温度/压力远传、超限报警，并与热（冷）媒或泄放系统等</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w:t>
      </w:r>
      <w:bookmarkEnd w:id="61"/>
    </w:p>
    <w:p w:rsidR="00D01A63" w:rsidRPr="00D01A63" w:rsidRDefault="00D01A63" w:rsidP="00D01A63">
      <w:pPr>
        <w:pStyle w:val="a2"/>
        <w:spacing w:before="156" w:after="156"/>
        <w:rPr>
          <w:rFonts w:asciiTheme="minorEastAsia" w:eastAsiaTheme="minorEastAsia" w:hAnsiTheme="minorEastAsia"/>
        </w:rPr>
      </w:pPr>
      <w:bookmarkStart w:id="62" w:name="_Toc158136540"/>
      <w:r w:rsidRPr="00D01A63">
        <w:rPr>
          <w:rFonts w:asciiTheme="minorEastAsia" w:eastAsiaTheme="minorEastAsia" w:hAnsiTheme="minorEastAsia" w:hint="eastAsia"/>
        </w:rPr>
        <w:t>动量输送设备的进料、出料、切换、启停操作（不包括特殊要求的不能自启的动设备）等应通过BPCS实现远程控制。涉及固体原料连续输送工艺过程的，应采用机械或气力输送方式。可燃固体采用机械输送时应设置故障停机</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系统。可燃性粉尘的气力输送应采用氮气等惰性气体输送并设置气体压力自动调节装置，且应设置氧含量在线监测。能与空气形成爆炸性混合物的物料不得使用真空吸料，并严禁使用压缩空气进行压料操作。</w:t>
      </w:r>
      <w:bookmarkEnd w:id="62"/>
    </w:p>
    <w:p w:rsidR="00D01A63" w:rsidRPr="00D01A63" w:rsidRDefault="00D01A63" w:rsidP="00D01A63">
      <w:pPr>
        <w:pStyle w:val="a2"/>
        <w:spacing w:before="156" w:after="156"/>
        <w:rPr>
          <w:rFonts w:asciiTheme="minorEastAsia" w:eastAsiaTheme="minorEastAsia" w:hAnsiTheme="minorEastAsia"/>
        </w:rPr>
      </w:pPr>
      <w:bookmarkStart w:id="63" w:name="_Toc158136541"/>
      <w:r w:rsidRPr="00D01A63">
        <w:rPr>
          <w:rFonts w:asciiTheme="minorEastAsia" w:eastAsiaTheme="minorEastAsia" w:hAnsiTheme="minorEastAsia" w:hint="eastAsia"/>
        </w:rPr>
        <w:t>存在突然超压或发生瞬时分解爆炸危险、因物料爆聚或分解造成超温、超压的物料储存设施（包括伴有加热、搅拌操作的设施），应设置温度、压力、搅拌电流等工艺参数的检测、远传、报警，温度、压力应与热（冷）媒或泄放系统</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w:t>
      </w:r>
      <w:bookmarkEnd w:id="63"/>
    </w:p>
    <w:p w:rsidR="00D01A63" w:rsidRPr="00D01A63" w:rsidRDefault="00D01A63" w:rsidP="00D01A63">
      <w:pPr>
        <w:pStyle w:val="a2"/>
        <w:spacing w:before="156" w:after="156"/>
        <w:rPr>
          <w:rFonts w:asciiTheme="minorEastAsia" w:eastAsiaTheme="minorEastAsia" w:hAnsiTheme="minorEastAsia"/>
        </w:rPr>
      </w:pPr>
      <w:bookmarkStart w:id="64" w:name="_Toc158136542"/>
      <w:r w:rsidRPr="00D01A63">
        <w:rPr>
          <w:rFonts w:asciiTheme="minorEastAsia" w:eastAsiaTheme="minorEastAsia" w:hAnsiTheme="minorEastAsia" w:hint="eastAsia"/>
        </w:rPr>
        <w:t>使用盘管式或套管式气化器的液氯全气化工艺，其自动化控制应符合DB32/T 3617的规定要求。</w:t>
      </w:r>
      <w:bookmarkEnd w:id="64"/>
    </w:p>
    <w:p w:rsidR="00D01A63" w:rsidRPr="00D01A63" w:rsidRDefault="00D01A63" w:rsidP="00D01A63">
      <w:pPr>
        <w:pStyle w:val="a2"/>
        <w:spacing w:before="156" w:after="156"/>
        <w:rPr>
          <w:rFonts w:asciiTheme="minorEastAsia" w:eastAsiaTheme="minorEastAsia" w:hAnsiTheme="minorEastAsia"/>
        </w:rPr>
      </w:pPr>
      <w:bookmarkStart w:id="65" w:name="_Toc158136543"/>
      <w:r w:rsidRPr="00D01A63">
        <w:rPr>
          <w:rFonts w:asciiTheme="minorEastAsia" w:eastAsiaTheme="minorEastAsia" w:hAnsiTheme="minorEastAsia" w:hint="eastAsia"/>
        </w:rPr>
        <w:t>可燃液体或有毒液体的装置储罐（装置的原料、中间产品或助剂的储罐）应设置高、</w:t>
      </w:r>
      <w:proofErr w:type="gramStart"/>
      <w:r w:rsidRPr="00D01A63">
        <w:rPr>
          <w:rFonts w:asciiTheme="minorEastAsia" w:eastAsiaTheme="minorEastAsia" w:hAnsiTheme="minorEastAsia" w:hint="eastAsia"/>
        </w:rPr>
        <w:t>低液位</w:t>
      </w:r>
      <w:proofErr w:type="gramEnd"/>
      <w:r w:rsidRPr="00D01A63">
        <w:rPr>
          <w:rFonts w:asciiTheme="minorEastAsia" w:eastAsiaTheme="minorEastAsia" w:hAnsiTheme="minorEastAsia" w:hint="eastAsia"/>
        </w:rPr>
        <w:t>/重量报警，液位应与进料</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w:t>
      </w:r>
      <w:bookmarkEnd w:id="65"/>
    </w:p>
    <w:p w:rsidR="00D01A63" w:rsidRPr="00D01A63" w:rsidRDefault="00D01A63" w:rsidP="00D01A63">
      <w:pPr>
        <w:pStyle w:val="a2"/>
        <w:spacing w:before="156" w:after="156"/>
        <w:rPr>
          <w:rFonts w:asciiTheme="minorEastAsia" w:eastAsiaTheme="minorEastAsia" w:hAnsiTheme="minorEastAsia"/>
        </w:rPr>
      </w:pPr>
      <w:bookmarkStart w:id="66" w:name="_Toc158136544"/>
      <w:r w:rsidRPr="00D01A63">
        <w:rPr>
          <w:rFonts w:asciiTheme="minorEastAsia" w:eastAsiaTheme="minorEastAsia" w:hAnsiTheme="minorEastAsia" w:hint="eastAsia"/>
        </w:rPr>
        <w:t>装置高位槽应设置高液位/重量报警，液位应与进料</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或设溢流管道。</w:t>
      </w:r>
      <w:bookmarkEnd w:id="66"/>
    </w:p>
    <w:p w:rsidR="00D01A63" w:rsidRDefault="00D01A63" w:rsidP="00D01A63">
      <w:pPr>
        <w:pStyle w:val="a1"/>
        <w:spacing w:before="312" w:after="312"/>
      </w:pPr>
      <w:bookmarkStart w:id="67" w:name="_Toc158136545"/>
      <w:bookmarkStart w:id="68" w:name="_Toc158136677"/>
      <w:r>
        <w:rPr>
          <w:rFonts w:hint="eastAsia"/>
        </w:rPr>
        <w:t>反应工序</w:t>
      </w:r>
      <w:bookmarkEnd w:id="67"/>
      <w:bookmarkEnd w:id="68"/>
    </w:p>
    <w:p w:rsidR="00D01A63" w:rsidRPr="00D01A63" w:rsidRDefault="00D01A63" w:rsidP="00D01A63">
      <w:pPr>
        <w:pStyle w:val="a2"/>
        <w:spacing w:before="156" w:after="156"/>
        <w:rPr>
          <w:rFonts w:asciiTheme="minorEastAsia" w:eastAsiaTheme="minorEastAsia" w:hAnsiTheme="minorEastAsia"/>
        </w:rPr>
      </w:pPr>
      <w:bookmarkStart w:id="69" w:name="_Toc158136546"/>
      <w:r w:rsidRPr="00D01A63">
        <w:rPr>
          <w:rFonts w:asciiTheme="minorEastAsia" w:eastAsiaTheme="minorEastAsia" w:hAnsiTheme="minorEastAsia" w:hint="eastAsia"/>
        </w:rPr>
        <w:t>当一个反应设备涉及两个或以上不同的化工工艺，应采取顺序控制方式，或分别设置独立的自动化控制程序并具备切换控制的功能。</w:t>
      </w:r>
      <w:bookmarkEnd w:id="69"/>
    </w:p>
    <w:p w:rsidR="00D01A63" w:rsidRPr="00D01A63" w:rsidRDefault="00D01A63" w:rsidP="00D01A63">
      <w:pPr>
        <w:pStyle w:val="a2"/>
        <w:spacing w:before="156" w:after="156"/>
        <w:rPr>
          <w:rFonts w:asciiTheme="minorEastAsia" w:eastAsiaTheme="minorEastAsia" w:hAnsiTheme="minorEastAsia"/>
        </w:rPr>
      </w:pPr>
      <w:bookmarkStart w:id="70" w:name="_Toc158136547"/>
      <w:r w:rsidRPr="00D01A63">
        <w:rPr>
          <w:rFonts w:asciiTheme="minorEastAsia" w:eastAsiaTheme="minorEastAsia" w:hAnsiTheme="minorEastAsia" w:hint="eastAsia"/>
        </w:rPr>
        <w:t>分批加料的反应设备应设温度/压力远传、报警，反应温度/压力与热（冷）媒或泄放系统</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。进料管线</w:t>
      </w:r>
      <w:proofErr w:type="gramStart"/>
      <w:r w:rsidRPr="00D01A63">
        <w:rPr>
          <w:rFonts w:asciiTheme="minorEastAsia" w:eastAsiaTheme="minorEastAsia" w:hAnsiTheme="minorEastAsia" w:hint="eastAsia"/>
        </w:rPr>
        <w:t>宜设置</w:t>
      </w:r>
      <w:proofErr w:type="gramEnd"/>
      <w:r w:rsidRPr="00D01A63">
        <w:rPr>
          <w:rFonts w:asciiTheme="minorEastAsia" w:eastAsiaTheme="minorEastAsia" w:hAnsiTheme="minorEastAsia" w:hint="eastAsia"/>
        </w:rPr>
        <w:t>手动遥控和自动紧急切断阀。</w:t>
      </w:r>
      <w:bookmarkEnd w:id="70"/>
    </w:p>
    <w:p w:rsidR="00D01A63" w:rsidRPr="00D01A63" w:rsidRDefault="00D01A63" w:rsidP="00D01A63">
      <w:pPr>
        <w:pStyle w:val="a2"/>
        <w:spacing w:before="156" w:after="156"/>
        <w:rPr>
          <w:rFonts w:asciiTheme="minorEastAsia" w:eastAsiaTheme="minorEastAsia" w:hAnsiTheme="minorEastAsia"/>
        </w:rPr>
      </w:pPr>
      <w:bookmarkStart w:id="71" w:name="_Toc158136548"/>
      <w:r w:rsidRPr="00D01A63">
        <w:rPr>
          <w:rFonts w:asciiTheme="minorEastAsia" w:eastAsiaTheme="minorEastAsia" w:hAnsiTheme="minorEastAsia" w:hint="eastAsia"/>
        </w:rPr>
        <w:t>属于同一种重点监管危险化工工艺、多个反应设备串连使用的，各反应设备应设反应温度/压力远传、报警。任</w:t>
      </w:r>
      <w:proofErr w:type="gramStart"/>
      <w:r w:rsidRPr="00D01A63">
        <w:rPr>
          <w:rFonts w:asciiTheme="minorEastAsia" w:eastAsiaTheme="minorEastAsia" w:hAnsiTheme="minorEastAsia" w:hint="eastAsia"/>
        </w:rPr>
        <w:t>一</w:t>
      </w:r>
      <w:proofErr w:type="gramEnd"/>
      <w:r w:rsidRPr="00D01A63">
        <w:rPr>
          <w:rFonts w:asciiTheme="minorEastAsia" w:eastAsiaTheme="minorEastAsia" w:hAnsiTheme="minorEastAsia" w:hint="eastAsia"/>
        </w:rPr>
        <w:t>反应设备温度/压力应与总进料及热（冷）媒或泄放系统</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w:t>
      </w:r>
      <w:bookmarkEnd w:id="71"/>
    </w:p>
    <w:p w:rsidR="00D01A63" w:rsidRPr="00D01A63" w:rsidRDefault="00D01A63" w:rsidP="00D01A63">
      <w:pPr>
        <w:pStyle w:val="a2"/>
        <w:spacing w:before="156" w:after="156"/>
        <w:rPr>
          <w:rFonts w:asciiTheme="minorEastAsia" w:eastAsiaTheme="minorEastAsia" w:hAnsiTheme="minorEastAsia"/>
        </w:rPr>
      </w:pPr>
      <w:bookmarkStart w:id="72" w:name="_Toc158136549"/>
      <w:r w:rsidRPr="00D01A63">
        <w:rPr>
          <w:rFonts w:asciiTheme="minorEastAsia" w:eastAsiaTheme="minorEastAsia" w:hAnsiTheme="minorEastAsia" w:hint="eastAsia"/>
        </w:rPr>
        <w:t>涉及重点监管危险化工工艺的反应过程中需要通过调节冷却系统控制或者辅助控制反应温度的，应设置自动化控制回路，实现反应温度升高时自动提高冷却剂流量；调节精度要求较高，简单控制回路不能满足要求时，应设串级控制回路实现冷却剂流量自动化调节。</w:t>
      </w:r>
      <w:bookmarkEnd w:id="72"/>
    </w:p>
    <w:p w:rsidR="00D01A63" w:rsidRPr="00D01A63" w:rsidRDefault="00D01A63" w:rsidP="00D01A63">
      <w:pPr>
        <w:pStyle w:val="a2"/>
        <w:spacing w:before="156" w:after="156"/>
        <w:rPr>
          <w:rFonts w:asciiTheme="minorEastAsia" w:eastAsiaTheme="minorEastAsia" w:hAnsiTheme="minorEastAsia"/>
        </w:rPr>
      </w:pPr>
      <w:bookmarkStart w:id="73" w:name="_Toc158136550"/>
      <w:r w:rsidRPr="00D01A63">
        <w:rPr>
          <w:rFonts w:asciiTheme="minorEastAsia" w:eastAsiaTheme="minorEastAsia" w:hAnsiTheme="minorEastAsia" w:hint="eastAsia"/>
        </w:rPr>
        <w:t>工艺过程涉及热媒、冷媒切换操作的，应设置自动化控制阀。</w:t>
      </w:r>
      <w:bookmarkEnd w:id="73"/>
    </w:p>
    <w:p w:rsidR="00D01A63" w:rsidRPr="00D01A63" w:rsidRDefault="00D01A63" w:rsidP="00D01A63">
      <w:pPr>
        <w:pStyle w:val="a2"/>
        <w:spacing w:before="156" w:after="156"/>
        <w:rPr>
          <w:rFonts w:asciiTheme="minorEastAsia" w:eastAsiaTheme="minorEastAsia" w:hAnsiTheme="minorEastAsia"/>
        </w:rPr>
      </w:pPr>
      <w:bookmarkStart w:id="74" w:name="_Toc158136551"/>
      <w:r w:rsidRPr="00D01A63">
        <w:rPr>
          <w:rFonts w:asciiTheme="minorEastAsia" w:eastAsiaTheme="minorEastAsia" w:hAnsiTheme="minorEastAsia" w:hint="eastAsia"/>
        </w:rPr>
        <w:t>设有搅拌系统且具有超压或爆炸危险的反应设备，应设搅拌电流远传指示。搅拌系统故障停机信号或搅拌电流应与进料、热（冷）媒或泄放系统</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w:t>
      </w:r>
      <w:bookmarkEnd w:id="74"/>
    </w:p>
    <w:p w:rsidR="00D01A63" w:rsidRPr="00D01A63" w:rsidRDefault="00D01A63" w:rsidP="00D01A63">
      <w:pPr>
        <w:pStyle w:val="a2"/>
        <w:spacing w:before="156" w:after="156"/>
        <w:rPr>
          <w:rFonts w:asciiTheme="minorEastAsia" w:eastAsiaTheme="minorEastAsia" w:hAnsiTheme="minorEastAsia"/>
        </w:rPr>
      </w:pPr>
      <w:bookmarkStart w:id="75" w:name="_Toc158136552"/>
      <w:r w:rsidRPr="00D01A63">
        <w:rPr>
          <w:rFonts w:asciiTheme="minorEastAsia" w:eastAsiaTheme="minorEastAsia" w:hAnsiTheme="minorEastAsia" w:hint="eastAsia"/>
        </w:rPr>
        <w:t>设有外循环冷却系统的反应设备，应设置备用循环泵，并具备自动切换功能；仅设有外循环冷却系统且未设置备用泵时，循环泵故障信号应与紧急停车系统</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。应设置循环泵电流远传指示或电机启停指示，外循环系统故障信号应与进料及热（冷）媒或泄放系统</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w:t>
      </w:r>
      <w:bookmarkEnd w:id="75"/>
    </w:p>
    <w:p w:rsidR="00D01A63" w:rsidRPr="00D01A63" w:rsidRDefault="00D01A63" w:rsidP="00D01A63">
      <w:pPr>
        <w:pStyle w:val="a2"/>
        <w:spacing w:before="156" w:after="156"/>
        <w:rPr>
          <w:rFonts w:asciiTheme="minorEastAsia" w:eastAsiaTheme="minorEastAsia" w:hAnsiTheme="minorEastAsia"/>
        </w:rPr>
      </w:pPr>
      <w:bookmarkStart w:id="76" w:name="_Toc158136553"/>
      <w:r w:rsidRPr="00D01A63">
        <w:rPr>
          <w:rFonts w:asciiTheme="minorEastAsia" w:eastAsiaTheme="minorEastAsia" w:hAnsiTheme="minorEastAsia" w:hint="eastAsia"/>
        </w:rPr>
        <w:t>控制室应设紧急停车按钮，现场宜设就地紧急停车按钮。控制系统紧急停车按钮和重要的复位、报警等功能按钮应</w:t>
      </w:r>
      <w:proofErr w:type="gramStart"/>
      <w:r w:rsidRPr="00D01A63">
        <w:rPr>
          <w:rFonts w:asciiTheme="minorEastAsia" w:eastAsiaTheme="minorEastAsia" w:hAnsiTheme="minorEastAsia" w:hint="eastAsia"/>
        </w:rPr>
        <w:t>在辅操台上</w:t>
      </w:r>
      <w:proofErr w:type="gramEnd"/>
      <w:r w:rsidRPr="00D01A63">
        <w:rPr>
          <w:rFonts w:asciiTheme="minorEastAsia" w:eastAsiaTheme="minorEastAsia" w:hAnsiTheme="minorEastAsia" w:hint="eastAsia"/>
        </w:rPr>
        <w:t>设置硬按钮，就地紧急停车按钮宜分区域集中设置在操作人员易于接近的地点。</w:t>
      </w:r>
      <w:bookmarkEnd w:id="76"/>
    </w:p>
    <w:p w:rsidR="00D01A63" w:rsidRPr="00D01A63" w:rsidRDefault="00D01A63" w:rsidP="00D01A63">
      <w:pPr>
        <w:pStyle w:val="a2"/>
        <w:spacing w:before="156" w:after="156"/>
        <w:rPr>
          <w:rFonts w:asciiTheme="minorEastAsia" w:eastAsiaTheme="minorEastAsia" w:hAnsiTheme="minorEastAsia"/>
        </w:rPr>
      </w:pPr>
      <w:bookmarkStart w:id="77" w:name="_Toc158136554"/>
      <w:r w:rsidRPr="00D01A63">
        <w:rPr>
          <w:rFonts w:asciiTheme="minorEastAsia" w:eastAsiaTheme="minorEastAsia" w:hAnsiTheme="minorEastAsia" w:hint="eastAsia"/>
        </w:rPr>
        <w:t>液态催化剂采用计量泵自动滴加至反应设备的，紧急停车时或反应温度/压力</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动作时应</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自动停止滴加泵。带</w:t>
      </w:r>
      <w:proofErr w:type="gramStart"/>
      <w:r w:rsidRPr="00D01A63">
        <w:rPr>
          <w:rFonts w:asciiTheme="minorEastAsia" w:eastAsiaTheme="minorEastAsia" w:hAnsiTheme="minorEastAsia" w:hint="eastAsia"/>
        </w:rPr>
        <w:t>压反应</w:t>
      </w:r>
      <w:proofErr w:type="gramEnd"/>
      <w:r w:rsidRPr="00D01A63">
        <w:rPr>
          <w:rFonts w:asciiTheme="minorEastAsia" w:eastAsiaTheme="minorEastAsia" w:hAnsiTheme="minorEastAsia" w:hint="eastAsia"/>
        </w:rPr>
        <w:t>工况的反应设备应在催化剂自动滴加管道上靠近反应设备设置</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切断阀。</w:t>
      </w:r>
      <w:bookmarkEnd w:id="77"/>
    </w:p>
    <w:p w:rsidR="00D01A63" w:rsidRPr="00D01A63" w:rsidRDefault="00D01A63" w:rsidP="00D01A63">
      <w:pPr>
        <w:pStyle w:val="a2"/>
        <w:spacing w:before="156" w:after="156"/>
        <w:rPr>
          <w:rFonts w:asciiTheme="minorEastAsia" w:eastAsiaTheme="minorEastAsia" w:hAnsiTheme="minorEastAsia"/>
        </w:rPr>
      </w:pPr>
      <w:bookmarkStart w:id="78" w:name="_Toc158136555"/>
      <w:r w:rsidRPr="00D01A63">
        <w:rPr>
          <w:rFonts w:asciiTheme="minorEastAsia" w:eastAsiaTheme="minorEastAsia" w:hAnsiTheme="minorEastAsia" w:hint="eastAsia"/>
        </w:rPr>
        <w:lastRenderedPageBreak/>
        <w:t>连续添加固态催化剂的应采用自动添加方式。自动添加方式确有难度的，应设置密闭添加设施，不应采用开放式人工添加催化剂。</w:t>
      </w:r>
      <w:bookmarkEnd w:id="78"/>
    </w:p>
    <w:p w:rsidR="00D01A63" w:rsidRPr="00D01A63" w:rsidRDefault="00D01A63" w:rsidP="00D01A63">
      <w:pPr>
        <w:pStyle w:val="a2"/>
        <w:spacing w:before="156" w:after="156"/>
        <w:rPr>
          <w:rFonts w:asciiTheme="minorEastAsia" w:eastAsiaTheme="minorEastAsia" w:hAnsiTheme="minorEastAsia"/>
        </w:rPr>
      </w:pPr>
      <w:bookmarkStart w:id="79" w:name="_Toc158136556"/>
      <w:r w:rsidRPr="00D01A63">
        <w:rPr>
          <w:rFonts w:asciiTheme="minorEastAsia" w:eastAsiaTheme="minorEastAsia" w:hAnsiTheme="minorEastAsia" w:hint="eastAsia"/>
        </w:rPr>
        <w:t>固体原料连续投入反应设备（非一次性投入）并作为主反应原料的，应设置加料斗、机械加料装置，反应温度/压力应与进料</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w:t>
      </w:r>
      <w:bookmarkEnd w:id="79"/>
    </w:p>
    <w:p w:rsidR="00D01A63" w:rsidRPr="00D01A63" w:rsidRDefault="00D01A63" w:rsidP="00D01A63">
      <w:pPr>
        <w:pStyle w:val="a2"/>
        <w:spacing w:before="156" w:after="156"/>
        <w:rPr>
          <w:rFonts w:asciiTheme="minorEastAsia" w:eastAsiaTheme="minorEastAsia" w:hAnsiTheme="minorEastAsia"/>
        </w:rPr>
      </w:pPr>
      <w:bookmarkStart w:id="80" w:name="_Toc158136557"/>
      <w:r w:rsidRPr="00D01A63">
        <w:rPr>
          <w:rFonts w:asciiTheme="minorEastAsia" w:eastAsiaTheme="minorEastAsia" w:hAnsiTheme="minorEastAsia" w:hint="eastAsia"/>
        </w:rPr>
        <w:t>因物料爆聚、分解造成超温、超压，可能引起火灾、爆炸的反应设备，应设报警信号和泄压系统。</w:t>
      </w:r>
      <w:bookmarkEnd w:id="80"/>
    </w:p>
    <w:p w:rsidR="00D01A63" w:rsidRDefault="00D01A63" w:rsidP="00D01A63">
      <w:pPr>
        <w:pStyle w:val="a1"/>
        <w:spacing w:before="312" w:after="312"/>
      </w:pPr>
      <w:bookmarkStart w:id="81" w:name="_Toc158136558"/>
      <w:bookmarkStart w:id="82" w:name="_Toc158136678"/>
      <w:r>
        <w:rPr>
          <w:rFonts w:hint="eastAsia"/>
        </w:rPr>
        <w:t>精馏精制</w:t>
      </w:r>
      <w:bookmarkEnd w:id="81"/>
      <w:bookmarkEnd w:id="82"/>
    </w:p>
    <w:p w:rsidR="00D01A63" w:rsidRPr="00D01A63" w:rsidRDefault="00D01A63" w:rsidP="00D01A63">
      <w:pPr>
        <w:pStyle w:val="a2"/>
        <w:spacing w:before="156" w:after="156"/>
        <w:rPr>
          <w:rFonts w:asciiTheme="minorEastAsia" w:eastAsiaTheme="minorEastAsia" w:hAnsiTheme="minorEastAsia"/>
        </w:rPr>
      </w:pPr>
      <w:bookmarkStart w:id="83" w:name="_Toc158136559"/>
      <w:r w:rsidRPr="00D01A63">
        <w:rPr>
          <w:rFonts w:asciiTheme="minorEastAsia" w:eastAsiaTheme="minorEastAsia" w:hAnsiTheme="minorEastAsia" w:hint="eastAsia"/>
        </w:rPr>
        <w:t>连续进料或出料的精馏（蒸馏）</w:t>
      </w:r>
      <w:proofErr w:type="gramStart"/>
      <w:r w:rsidRPr="00D01A63">
        <w:rPr>
          <w:rFonts w:asciiTheme="minorEastAsia" w:eastAsiaTheme="minorEastAsia" w:hAnsiTheme="minorEastAsia" w:hint="eastAsia"/>
        </w:rPr>
        <w:t>塔应设液</w:t>
      </w:r>
      <w:proofErr w:type="gramEnd"/>
      <w:r w:rsidRPr="00D01A63">
        <w:rPr>
          <w:rFonts w:asciiTheme="minorEastAsia" w:eastAsiaTheme="minorEastAsia" w:hAnsiTheme="minorEastAsia" w:hint="eastAsia"/>
        </w:rPr>
        <w:t>位自动化控制回路，通过调节出料量实现液位自动化调节。</w:t>
      </w:r>
      <w:bookmarkEnd w:id="83"/>
    </w:p>
    <w:p w:rsidR="00D01A63" w:rsidRPr="00D01A63" w:rsidRDefault="00D01A63" w:rsidP="00D01A63">
      <w:pPr>
        <w:pStyle w:val="a2"/>
        <w:spacing w:before="156" w:after="156"/>
        <w:rPr>
          <w:rFonts w:asciiTheme="minorEastAsia" w:eastAsiaTheme="minorEastAsia" w:hAnsiTheme="minorEastAsia"/>
        </w:rPr>
      </w:pPr>
      <w:bookmarkStart w:id="84" w:name="_Toc158136560"/>
      <w:r w:rsidRPr="00D01A63">
        <w:rPr>
          <w:rFonts w:asciiTheme="minorEastAsia" w:eastAsiaTheme="minorEastAsia" w:hAnsiTheme="minorEastAsia" w:hint="eastAsia"/>
        </w:rPr>
        <w:t>精馏（蒸馏）</w:t>
      </w:r>
      <w:proofErr w:type="gramStart"/>
      <w:r w:rsidRPr="00D01A63">
        <w:rPr>
          <w:rFonts w:asciiTheme="minorEastAsia" w:eastAsiaTheme="minorEastAsia" w:hAnsiTheme="minorEastAsia" w:hint="eastAsia"/>
        </w:rPr>
        <w:t>塔应设</w:t>
      </w:r>
      <w:proofErr w:type="gramEnd"/>
      <w:r w:rsidRPr="00D01A63">
        <w:rPr>
          <w:rFonts w:asciiTheme="minorEastAsia" w:eastAsiaTheme="minorEastAsia" w:hAnsiTheme="minorEastAsia" w:hint="eastAsia"/>
        </w:rPr>
        <w:t>塔</w:t>
      </w:r>
      <w:proofErr w:type="gramStart"/>
      <w:r w:rsidRPr="00D01A63">
        <w:rPr>
          <w:rFonts w:asciiTheme="minorEastAsia" w:eastAsiaTheme="minorEastAsia" w:hAnsiTheme="minorEastAsia" w:hint="eastAsia"/>
        </w:rPr>
        <w:t>釜</w:t>
      </w:r>
      <w:proofErr w:type="gramEnd"/>
      <w:r w:rsidRPr="00D01A63">
        <w:rPr>
          <w:rFonts w:asciiTheme="minorEastAsia" w:eastAsiaTheme="minorEastAsia" w:hAnsiTheme="minorEastAsia" w:hint="eastAsia"/>
        </w:rPr>
        <w:t>液位</w:t>
      </w:r>
      <w:proofErr w:type="gramStart"/>
      <w:r w:rsidRPr="00D01A63">
        <w:rPr>
          <w:rFonts w:asciiTheme="minorEastAsia" w:eastAsiaTheme="minorEastAsia" w:hAnsiTheme="minorEastAsia" w:hint="eastAsia"/>
        </w:rPr>
        <w:t>就地和</w:t>
      </w:r>
      <w:proofErr w:type="gramEnd"/>
      <w:r w:rsidRPr="00D01A63">
        <w:rPr>
          <w:rFonts w:asciiTheme="minorEastAsia" w:eastAsiaTheme="minorEastAsia" w:hAnsiTheme="minorEastAsia" w:hint="eastAsia"/>
        </w:rPr>
        <w:t>远传指示，并设高、</w:t>
      </w:r>
      <w:proofErr w:type="gramStart"/>
      <w:r w:rsidRPr="00D01A63">
        <w:rPr>
          <w:rFonts w:asciiTheme="minorEastAsia" w:eastAsiaTheme="minorEastAsia" w:hAnsiTheme="minorEastAsia" w:hint="eastAsia"/>
        </w:rPr>
        <w:t>低液位</w:t>
      </w:r>
      <w:proofErr w:type="gramEnd"/>
      <w:r w:rsidRPr="00D01A63">
        <w:rPr>
          <w:rFonts w:asciiTheme="minorEastAsia" w:eastAsiaTheme="minorEastAsia" w:hAnsiTheme="minorEastAsia" w:hint="eastAsia"/>
        </w:rPr>
        <w:t>报警；应设置塔</w:t>
      </w:r>
      <w:proofErr w:type="gramStart"/>
      <w:r w:rsidRPr="00D01A63">
        <w:rPr>
          <w:rFonts w:asciiTheme="minorEastAsia" w:eastAsiaTheme="minorEastAsia" w:hAnsiTheme="minorEastAsia" w:hint="eastAsia"/>
        </w:rPr>
        <w:t>釜</w:t>
      </w:r>
      <w:proofErr w:type="gramEnd"/>
      <w:r w:rsidRPr="00D01A63">
        <w:rPr>
          <w:rFonts w:asciiTheme="minorEastAsia" w:eastAsiaTheme="minorEastAsia" w:hAnsiTheme="minorEastAsia" w:hint="eastAsia"/>
        </w:rPr>
        <w:t>温度远传指示、超限报警和自动化控制回路，塔</w:t>
      </w:r>
      <w:proofErr w:type="gramStart"/>
      <w:r w:rsidRPr="00D01A63">
        <w:rPr>
          <w:rFonts w:asciiTheme="minorEastAsia" w:eastAsiaTheme="minorEastAsia" w:hAnsiTheme="minorEastAsia" w:hint="eastAsia"/>
        </w:rPr>
        <w:t>釜</w:t>
      </w:r>
      <w:proofErr w:type="gramEnd"/>
      <w:r w:rsidRPr="00D01A63">
        <w:rPr>
          <w:rFonts w:asciiTheme="minorEastAsia" w:eastAsiaTheme="minorEastAsia" w:hAnsiTheme="minorEastAsia" w:hint="eastAsia"/>
        </w:rPr>
        <w:t>温度应与热媒</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；塔顶冷凝（却）器</w:t>
      </w:r>
      <w:proofErr w:type="gramStart"/>
      <w:r w:rsidRPr="00D01A63">
        <w:rPr>
          <w:rFonts w:asciiTheme="minorEastAsia" w:eastAsiaTheme="minorEastAsia" w:hAnsiTheme="minorEastAsia" w:hint="eastAsia"/>
        </w:rPr>
        <w:t>宜设置</w:t>
      </w:r>
      <w:proofErr w:type="gramEnd"/>
      <w:r w:rsidRPr="00D01A63">
        <w:rPr>
          <w:rFonts w:asciiTheme="minorEastAsia" w:eastAsiaTheme="minorEastAsia" w:hAnsiTheme="minorEastAsia" w:hint="eastAsia"/>
        </w:rPr>
        <w:t>冷媒中断报警。</w:t>
      </w:r>
      <w:bookmarkEnd w:id="84"/>
    </w:p>
    <w:p w:rsidR="00D01A63" w:rsidRPr="00D01A63" w:rsidRDefault="00D01A63" w:rsidP="00D01A63">
      <w:pPr>
        <w:pStyle w:val="a2"/>
        <w:spacing w:before="156" w:after="156"/>
        <w:rPr>
          <w:rFonts w:asciiTheme="minorEastAsia" w:eastAsiaTheme="minorEastAsia" w:hAnsiTheme="minorEastAsia"/>
        </w:rPr>
      </w:pPr>
      <w:bookmarkStart w:id="85" w:name="_Toc158136561"/>
      <w:r w:rsidRPr="00D01A63">
        <w:rPr>
          <w:rFonts w:asciiTheme="minorEastAsia" w:eastAsiaTheme="minorEastAsia" w:hAnsiTheme="minorEastAsia" w:hint="eastAsia"/>
        </w:rPr>
        <w:t>塔顶操作压力大于0.03MPa的蒸馏塔、汽提塔、蒸发塔等应设置压力就地/远传指示及泄放系统。塔顶操作压力大于0.1MPa的蒸馏塔、汽提塔、蒸发塔等的塔顶压力应与进料、热媒或泄放系统</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。塔顶操作压力为负压的应设置压力高报警。</w:t>
      </w:r>
      <w:bookmarkEnd w:id="85"/>
    </w:p>
    <w:p w:rsidR="00D01A63" w:rsidRPr="00D01A63" w:rsidRDefault="00D01A63" w:rsidP="00D01A63">
      <w:pPr>
        <w:pStyle w:val="a2"/>
        <w:spacing w:before="156" w:after="156"/>
        <w:rPr>
          <w:rFonts w:asciiTheme="minorEastAsia" w:eastAsiaTheme="minorEastAsia" w:hAnsiTheme="minorEastAsia"/>
        </w:rPr>
      </w:pPr>
      <w:bookmarkStart w:id="86" w:name="_Toc158136562"/>
      <w:r w:rsidRPr="00D01A63">
        <w:rPr>
          <w:rFonts w:asciiTheme="minorEastAsia" w:eastAsiaTheme="minorEastAsia" w:hAnsiTheme="minorEastAsia" w:hint="eastAsia"/>
        </w:rPr>
        <w:t>再沸器的热媒管道上应设置压力或温度就地/远程指示和控制阀。</w:t>
      </w:r>
      <w:bookmarkEnd w:id="86"/>
    </w:p>
    <w:p w:rsidR="00D01A63" w:rsidRPr="00D01A63" w:rsidRDefault="00D01A63" w:rsidP="00D01A63">
      <w:pPr>
        <w:pStyle w:val="a2"/>
        <w:spacing w:before="156" w:after="156"/>
        <w:rPr>
          <w:rFonts w:asciiTheme="minorEastAsia" w:eastAsiaTheme="minorEastAsia" w:hAnsiTheme="minorEastAsia"/>
        </w:rPr>
      </w:pPr>
      <w:bookmarkStart w:id="87" w:name="_Toc158136563"/>
      <w:r w:rsidRPr="00D01A63">
        <w:rPr>
          <w:rFonts w:asciiTheme="minorEastAsia" w:eastAsiaTheme="minorEastAsia" w:hAnsiTheme="minorEastAsia" w:hint="eastAsia"/>
        </w:rPr>
        <w:t>塔顶馏出液的回流罐应设</w:t>
      </w:r>
      <w:proofErr w:type="gramStart"/>
      <w:r w:rsidRPr="00D01A63">
        <w:rPr>
          <w:rFonts w:asciiTheme="minorEastAsia" w:eastAsiaTheme="minorEastAsia" w:hAnsiTheme="minorEastAsia" w:hint="eastAsia"/>
        </w:rPr>
        <w:t>就地和</w:t>
      </w:r>
      <w:proofErr w:type="gramEnd"/>
      <w:r w:rsidRPr="00D01A63">
        <w:rPr>
          <w:rFonts w:asciiTheme="minorEastAsia" w:eastAsiaTheme="minorEastAsia" w:hAnsiTheme="minorEastAsia" w:hint="eastAsia"/>
        </w:rPr>
        <w:t>远传液位计，并设高、</w:t>
      </w:r>
      <w:proofErr w:type="gramStart"/>
      <w:r w:rsidRPr="00D01A63">
        <w:rPr>
          <w:rFonts w:asciiTheme="minorEastAsia" w:eastAsiaTheme="minorEastAsia" w:hAnsiTheme="minorEastAsia" w:hint="eastAsia"/>
        </w:rPr>
        <w:t>低液位</w:t>
      </w:r>
      <w:proofErr w:type="gramEnd"/>
      <w:r w:rsidRPr="00D01A63">
        <w:rPr>
          <w:rFonts w:asciiTheme="minorEastAsia" w:eastAsiaTheme="minorEastAsia" w:hAnsiTheme="minorEastAsia" w:hint="eastAsia"/>
        </w:rPr>
        <w:t>报警。使用外置回流控制塔顶温度的应设置温度自动化控制回路，通过调节回流量控制塔顶温度。使用内置回流的，应设置液位检测和控制。</w:t>
      </w:r>
      <w:bookmarkEnd w:id="87"/>
    </w:p>
    <w:p w:rsidR="00D01A63" w:rsidRPr="00D01A63" w:rsidRDefault="00D01A63" w:rsidP="00D01A63">
      <w:pPr>
        <w:pStyle w:val="a2"/>
        <w:spacing w:before="156" w:after="156"/>
        <w:rPr>
          <w:rFonts w:asciiTheme="minorEastAsia" w:eastAsiaTheme="minorEastAsia" w:hAnsiTheme="minorEastAsia"/>
        </w:rPr>
      </w:pPr>
      <w:bookmarkStart w:id="88" w:name="_Toc158136564"/>
      <w:r w:rsidRPr="00D01A63">
        <w:rPr>
          <w:rFonts w:asciiTheme="minorEastAsia" w:eastAsiaTheme="minorEastAsia" w:hAnsiTheme="minorEastAsia" w:hint="eastAsia"/>
        </w:rPr>
        <w:t>反应产物因酸解、碱解（仅调节PH值的除外）、萃取、脱色、蒸发、结晶等涉及加热工艺过程的，当热媒温度高于设备内介质沸点的，应设置温度自动检测、远传、报警，并与热媒或泄放系统</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w:t>
      </w:r>
      <w:bookmarkEnd w:id="88"/>
    </w:p>
    <w:p w:rsidR="00D01A63" w:rsidRDefault="00D01A63" w:rsidP="00D01A63">
      <w:pPr>
        <w:pStyle w:val="a1"/>
        <w:spacing w:before="312" w:after="312"/>
      </w:pPr>
      <w:bookmarkStart w:id="89" w:name="_Toc158136565"/>
      <w:bookmarkStart w:id="90" w:name="_Toc158136679"/>
      <w:r>
        <w:rPr>
          <w:rFonts w:hint="eastAsia"/>
        </w:rPr>
        <w:t>产品包装</w:t>
      </w:r>
      <w:bookmarkEnd w:id="89"/>
      <w:bookmarkEnd w:id="90"/>
    </w:p>
    <w:p w:rsidR="00D01A63" w:rsidRPr="00D01A63" w:rsidRDefault="00D01A63" w:rsidP="00D01A63">
      <w:pPr>
        <w:pStyle w:val="a2"/>
        <w:spacing w:before="156" w:after="156"/>
        <w:rPr>
          <w:rFonts w:asciiTheme="minorEastAsia" w:eastAsiaTheme="minorEastAsia" w:hAnsiTheme="minorEastAsia"/>
        </w:rPr>
      </w:pPr>
      <w:bookmarkStart w:id="91" w:name="_Toc158136566"/>
      <w:r w:rsidRPr="00D01A63">
        <w:rPr>
          <w:rFonts w:asciiTheme="minorEastAsia" w:eastAsiaTheme="minorEastAsia" w:hAnsiTheme="minorEastAsia" w:hint="eastAsia"/>
        </w:rPr>
        <w:t>涉及可燃固体、液体、气体或有毒气体包装或爆炸性粉尘的包装作业场所，应采用自动化包装等措施；当采用自动化包装确有困难时，包装作业场所当班操作人员应控制在9人以下。</w:t>
      </w:r>
      <w:bookmarkEnd w:id="91"/>
    </w:p>
    <w:p w:rsidR="00D01A63" w:rsidRPr="00D01A63" w:rsidRDefault="00D01A63" w:rsidP="00D01A63">
      <w:pPr>
        <w:pStyle w:val="a2"/>
        <w:spacing w:before="156" w:after="156"/>
        <w:rPr>
          <w:rFonts w:asciiTheme="minorEastAsia" w:eastAsiaTheme="minorEastAsia" w:hAnsiTheme="minorEastAsia"/>
        </w:rPr>
      </w:pPr>
      <w:bookmarkStart w:id="92" w:name="_Toc158136567"/>
      <w:r w:rsidRPr="00D01A63">
        <w:rPr>
          <w:rFonts w:asciiTheme="minorEastAsia" w:eastAsiaTheme="minorEastAsia" w:hAnsiTheme="minorEastAsia" w:hint="eastAsia"/>
        </w:rPr>
        <w:t>液氯、液氨等液化气体气瓶充装应设电子</w:t>
      </w:r>
      <w:proofErr w:type="gramStart"/>
      <w:r w:rsidRPr="00D01A63">
        <w:rPr>
          <w:rFonts w:asciiTheme="minorEastAsia" w:eastAsiaTheme="minorEastAsia" w:hAnsiTheme="minorEastAsia" w:hint="eastAsia"/>
        </w:rPr>
        <w:t>衡</w:t>
      </w:r>
      <w:proofErr w:type="gramEnd"/>
      <w:r w:rsidRPr="00D01A63">
        <w:rPr>
          <w:rFonts w:asciiTheme="minorEastAsia" w:eastAsiaTheme="minorEastAsia" w:hAnsiTheme="minorEastAsia" w:hint="eastAsia"/>
        </w:rPr>
        <w:t>称重计量和超装报警系统，超装信号应与自动充装紧急切断阀</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，并设置手动阀。</w:t>
      </w:r>
      <w:bookmarkEnd w:id="92"/>
    </w:p>
    <w:p w:rsidR="00D01A63" w:rsidRPr="00D01A63" w:rsidRDefault="00D01A63" w:rsidP="00D01A63">
      <w:pPr>
        <w:pStyle w:val="a2"/>
        <w:spacing w:before="156" w:after="156"/>
        <w:rPr>
          <w:rFonts w:asciiTheme="minorEastAsia" w:eastAsiaTheme="minorEastAsia" w:hAnsiTheme="minorEastAsia"/>
        </w:rPr>
      </w:pPr>
      <w:bookmarkStart w:id="93" w:name="_Toc158136568"/>
      <w:r w:rsidRPr="00D01A63">
        <w:rPr>
          <w:rFonts w:asciiTheme="minorEastAsia" w:eastAsiaTheme="minorEastAsia" w:hAnsiTheme="minorEastAsia" w:hint="eastAsia"/>
        </w:rPr>
        <w:t>液态物料采用自动计量称重灌装系统的，超装信号应与气动球阀或灌装机枪口</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w:t>
      </w:r>
      <w:bookmarkEnd w:id="93"/>
    </w:p>
    <w:p w:rsidR="00D01A63" w:rsidRPr="00D01A63" w:rsidRDefault="00D01A63" w:rsidP="00D01A63">
      <w:pPr>
        <w:pStyle w:val="a2"/>
        <w:spacing w:before="156" w:after="156"/>
        <w:rPr>
          <w:rFonts w:asciiTheme="minorEastAsia" w:eastAsiaTheme="minorEastAsia" w:hAnsiTheme="minorEastAsia"/>
        </w:rPr>
      </w:pPr>
      <w:bookmarkStart w:id="94" w:name="_Toc158136569"/>
      <w:r w:rsidRPr="00D01A63">
        <w:rPr>
          <w:rFonts w:asciiTheme="minorEastAsia" w:eastAsiaTheme="minorEastAsia" w:hAnsiTheme="minorEastAsia" w:hint="eastAsia"/>
        </w:rPr>
        <w:t>可燃、有毒及强腐蚀性液体槽车充装应设置自动批量控制器，或具备高液</w:t>
      </w:r>
      <w:proofErr w:type="gramStart"/>
      <w:r w:rsidRPr="00D01A63">
        <w:rPr>
          <w:rFonts w:asciiTheme="minorEastAsia" w:eastAsiaTheme="minorEastAsia" w:hAnsiTheme="minorEastAsia" w:hint="eastAsia"/>
        </w:rPr>
        <w:t>位停止</w:t>
      </w:r>
      <w:proofErr w:type="gramEnd"/>
      <w:r w:rsidRPr="00D01A63">
        <w:rPr>
          <w:rFonts w:asciiTheme="minorEastAsia" w:eastAsiaTheme="minorEastAsia" w:hAnsiTheme="minorEastAsia" w:hint="eastAsia"/>
        </w:rPr>
        <w:t>充装、称重计量</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功能。</w:t>
      </w:r>
      <w:bookmarkEnd w:id="94"/>
    </w:p>
    <w:p w:rsidR="00D01A63" w:rsidRDefault="00D01A63" w:rsidP="00D01A63">
      <w:pPr>
        <w:pStyle w:val="a2"/>
        <w:spacing w:before="156" w:after="156"/>
        <w:rPr>
          <w:rFonts w:asciiTheme="minorEastAsia" w:eastAsiaTheme="minorEastAsia" w:hAnsiTheme="minorEastAsia"/>
        </w:rPr>
      </w:pPr>
      <w:bookmarkStart w:id="95" w:name="_Toc158136570"/>
      <w:r w:rsidRPr="00D01A63">
        <w:rPr>
          <w:rFonts w:asciiTheme="minorEastAsia" w:eastAsiaTheme="minorEastAsia" w:hAnsiTheme="minorEastAsia" w:hint="eastAsia"/>
        </w:rPr>
        <w:t>易燃易爆物料充装系统应与接地系统、泄漏检测报警系统</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。有毒物料充装系统应与泄漏检测报警系统</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w:t>
      </w:r>
      <w:bookmarkEnd w:id="95"/>
    </w:p>
    <w:p w:rsidR="00D01A63" w:rsidRDefault="00D01A63" w:rsidP="00D01A63">
      <w:pPr>
        <w:pStyle w:val="a1"/>
        <w:spacing w:before="312" w:after="312"/>
      </w:pPr>
      <w:bookmarkStart w:id="96" w:name="_Toc158136571"/>
      <w:bookmarkStart w:id="97" w:name="_Toc158136680"/>
      <w:r>
        <w:rPr>
          <w:rFonts w:hint="eastAsia"/>
        </w:rPr>
        <w:t>危险化学品储运</w:t>
      </w:r>
      <w:bookmarkEnd w:id="96"/>
      <w:bookmarkEnd w:id="97"/>
    </w:p>
    <w:p w:rsidR="00D01A63" w:rsidRPr="00D01A63" w:rsidRDefault="00D01A63" w:rsidP="00D01A63">
      <w:pPr>
        <w:pStyle w:val="a2"/>
        <w:spacing w:before="156" w:after="156"/>
        <w:rPr>
          <w:rFonts w:asciiTheme="minorEastAsia" w:eastAsiaTheme="minorEastAsia" w:hAnsiTheme="minorEastAsia"/>
        </w:rPr>
      </w:pPr>
      <w:bookmarkStart w:id="98" w:name="_Toc158136572"/>
      <w:r w:rsidRPr="00D01A63">
        <w:rPr>
          <w:rFonts w:asciiTheme="minorEastAsia" w:eastAsiaTheme="minorEastAsia" w:hAnsiTheme="minorEastAsia" w:hint="eastAsia"/>
        </w:rPr>
        <w:lastRenderedPageBreak/>
        <w:t>容积大于等于100m</w:t>
      </w:r>
      <w:r w:rsidRPr="00B6051A">
        <w:rPr>
          <w:rFonts w:asciiTheme="minorEastAsia" w:eastAsiaTheme="minorEastAsia" w:hAnsiTheme="minorEastAsia" w:hint="eastAsia"/>
          <w:vertAlign w:val="superscript"/>
        </w:rPr>
        <w:t>3</w:t>
      </w:r>
      <w:r w:rsidRPr="00D01A63">
        <w:rPr>
          <w:rFonts w:asciiTheme="minorEastAsia" w:eastAsiaTheme="minorEastAsia" w:hAnsiTheme="minorEastAsia" w:hint="eastAsia"/>
        </w:rPr>
        <w:t>的可燃液体储罐、有毒液体储罐、低温储罐及压力罐均应设置液位连续测量远传仪表和</w:t>
      </w:r>
      <w:proofErr w:type="gramStart"/>
      <w:r w:rsidRPr="00D01A63">
        <w:rPr>
          <w:rFonts w:asciiTheme="minorEastAsia" w:eastAsiaTheme="minorEastAsia" w:hAnsiTheme="minorEastAsia" w:hint="eastAsia"/>
        </w:rPr>
        <w:t>就地液</w:t>
      </w:r>
      <w:proofErr w:type="gramEnd"/>
      <w:r w:rsidRPr="00D01A63">
        <w:rPr>
          <w:rFonts w:asciiTheme="minorEastAsia" w:eastAsiaTheme="minorEastAsia" w:hAnsiTheme="minorEastAsia" w:hint="eastAsia"/>
        </w:rPr>
        <w:t>位指示，进出口管道上应设置自动控制阀，液位与进出</w:t>
      </w:r>
      <w:proofErr w:type="gramStart"/>
      <w:r w:rsidRPr="00D01A63">
        <w:rPr>
          <w:rFonts w:asciiTheme="minorEastAsia" w:eastAsiaTheme="minorEastAsia" w:hAnsiTheme="minorEastAsia" w:hint="eastAsia"/>
        </w:rPr>
        <w:t>料阀形成</w:t>
      </w:r>
      <w:proofErr w:type="gramEnd"/>
      <w:r w:rsidRPr="00D01A63">
        <w:rPr>
          <w:rFonts w:asciiTheme="minorEastAsia" w:eastAsiaTheme="minorEastAsia" w:hAnsiTheme="minorEastAsia" w:hint="eastAsia"/>
        </w:rPr>
        <w:t>自动化控制回路并设高、</w:t>
      </w:r>
      <w:proofErr w:type="gramStart"/>
      <w:r w:rsidRPr="00D01A63">
        <w:rPr>
          <w:rFonts w:asciiTheme="minorEastAsia" w:eastAsiaTheme="minorEastAsia" w:hAnsiTheme="minorEastAsia" w:hint="eastAsia"/>
        </w:rPr>
        <w:t>低液位</w:t>
      </w:r>
      <w:proofErr w:type="gramEnd"/>
      <w:r w:rsidRPr="00D01A63">
        <w:rPr>
          <w:rFonts w:asciiTheme="minorEastAsia" w:eastAsiaTheme="minorEastAsia" w:hAnsiTheme="minorEastAsia" w:hint="eastAsia"/>
        </w:rPr>
        <w:t>报警。</w:t>
      </w:r>
      <w:bookmarkEnd w:id="98"/>
    </w:p>
    <w:p w:rsidR="00D01A63" w:rsidRPr="00D01A63" w:rsidRDefault="00D01A63" w:rsidP="00D01A63">
      <w:pPr>
        <w:pStyle w:val="a2"/>
        <w:spacing w:before="156" w:after="156"/>
        <w:rPr>
          <w:rFonts w:asciiTheme="minorEastAsia" w:eastAsiaTheme="minorEastAsia" w:hAnsiTheme="minorEastAsia"/>
        </w:rPr>
      </w:pPr>
      <w:bookmarkStart w:id="99" w:name="_Toc158136573"/>
      <w:r w:rsidRPr="00D01A63">
        <w:rPr>
          <w:rFonts w:asciiTheme="minorEastAsia" w:eastAsiaTheme="minorEastAsia" w:hAnsiTheme="minorEastAsia" w:hint="eastAsia"/>
        </w:rPr>
        <w:t>浮顶储罐和有抽出泵的储罐应设低低液位</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切断。</w:t>
      </w:r>
      <w:bookmarkEnd w:id="99"/>
    </w:p>
    <w:p w:rsidR="00D01A63" w:rsidRPr="00D01A63" w:rsidRDefault="00D01A63" w:rsidP="00D01A63">
      <w:pPr>
        <w:pStyle w:val="a2"/>
        <w:spacing w:before="156" w:after="156"/>
        <w:rPr>
          <w:rFonts w:asciiTheme="minorEastAsia" w:eastAsiaTheme="minorEastAsia" w:hAnsiTheme="minorEastAsia"/>
        </w:rPr>
      </w:pPr>
      <w:bookmarkStart w:id="100" w:name="_Toc158136574"/>
      <w:r w:rsidRPr="00D01A63">
        <w:rPr>
          <w:rFonts w:asciiTheme="minorEastAsia" w:eastAsiaTheme="minorEastAsia" w:hAnsiTheme="minorEastAsia" w:hint="eastAsia"/>
        </w:rPr>
        <w:t>储存Ⅰ级和Ⅱ级有毒液体的储罐、易燃或有毒介质压力罐、容量大于或等于1000m</w:t>
      </w:r>
      <w:r w:rsidRPr="002D1807">
        <w:rPr>
          <w:rFonts w:asciiTheme="minorEastAsia" w:eastAsiaTheme="minorEastAsia" w:hAnsiTheme="minorEastAsia" w:hint="eastAsia"/>
          <w:vertAlign w:val="superscript"/>
        </w:rPr>
        <w:t>3</w:t>
      </w:r>
      <w:r w:rsidRPr="00D01A63">
        <w:rPr>
          <w:rFonts w:asciiTheme="minorEastAsia" w:eastAsiaTheme="minorEastAsia" w:hAnsiTheme="minorEastAsia" w:hint="eastAsia"/>
        </w:rPr>
        <w:t>的甲、乙A类可燃液体的储罐和容量大于或等于3000m</w:t>
      </w:r>
      <w:r w:rsidRPr="006313E9">
        <w:rPr>
          <w:rFonts w:asciiTheme="minorEastAsia" w:eastAsiaTheme="minorEastAsia" w:hAnsiTheme="minorEastAsia" w:hint="eastAsia"/>
          <w:vertAlign w:val="superscript"/>
        </w:rPr>
        <w:t>3</w:t>
      </w:r>
      <w:r w:rsidRPr="00D01A63">
        <w:rPr>
          <w:rFonts w:asciiTheme="minorEastAsia" w:eastAsiaTheme="minorEastAsia" w:hAnsiTheme="minorEastAsia" w:hint="eastAsia"/>
        </w:rPr>
        <w:t>的其他可燃液体储罐的液位应与进料</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w:t>
      </w:r>
      <w:bookmarkEnd w:id="100"/>
    </w:p>
    <w:p w:rsidR="00D01A63" w:rsidRPr="00D01A63" w:rsidRDefault="00D01A63" w:rsidP="00D01A63">
      <w:pPr>
        <w:pStyle w:val="a2"/>
        <w:spacing w:before="156" w:after="156"/>
        <w:rPr>
          <w:rFonts w:asciiTheme="minorEastAsia" w:eastAsiaTheme="minorEastAsia" w:hAnsiTheme="minorEastAsia"/>
        </w:rPr>
      </w:pPr>
      <w:bookmarkStart w:id="101" w:name="_Toc158136575"/>
      <w:r w:rsidRPr="00D01A63">
        <w:rPr>
          <w:rFonts w:asciiTheme="minorEastAsia" w:eastAsiaTheme="minorEastAsia" w:hAnsiTheme="minorEastAsia" w:hint="eastAsia"/>
        </w:rPr>
        <w:t>构成危险化学品重大危险源的液体储罐均应设置高、</w:t>
      </w:r>
      <w:proofErr w:type="gramStart"/>
      <w:r w:rsidRPr="00D01A63">
        <w:rPr>
          <w:rFonts w:asciiTheme="minorEastAsia" w:eastAsiaTheme="minorEastAsia" w:hAnsiTheme="minorEastAsia" w:hint="eastAsia"/>
        </w:rPr>
        <w:t>低液位</w:t>
      </w:r>
      <w:proofErr w:type="gramEnd"/>
      <w:r w:rsidRPr="00D01A63">
        <w:rPr>
          <w:rFonts w:asciiTheme="minorEastAsia" w:eastAsiaTheme="minorEastAsia" w:hAnsiTheme="minorEastAsia" w:hint="eastAsia"/>
        </w:rPr>
        <w:t>报警，进出口管道上应设置自动控制阀，液位应与进出</w:t>
      </w:r>
      <w:proofErr w:type="gramStart"/>
      <w:r w:rsidRPr="00D01A63">
        <w:rPr>
          <w:rFonts w:asciiTheme="minorEastAsia" w:eastAsiaTheme="minorEastAsia" w:hAnsiTheme="minorEastAsia" w:hint="eastAsia"/>
        </w:rPr>
        <w:t>料形成</w:t>
      </w:r>
      <w:proofErr w:type="gramEnd"/>
      <w:r w:rsidRPr="00D01A63">
        <w:rPr>
          <w:rFonts w:asciiTheme="minorEastAsia" w:eastAsiaTheme="minorEastAsia" w:hAnsiTheme="minorEastAsia" w:hint="eastAsia"/>
        </w:rPr>
        <w:t>自动化控制回路，并设置进出口紧急切断阀。</w:t>
      </w:r>
      <w:bookmarkEnd w:id="101"/>
    </w:p>
    <w:p w:rsidR="00D01A63" w:rsidRPr="00D01A63" w:rsidRDefault="00D01A63" w:rsidP="00D01A63">
      <w:pPr>
        <w:pStyle w:val="a2"/>
        <w:spacing w:before="156" w:after="156"/>
        <w:rPr>
          <w:rFonts w:asciiTheme="minorEastAsia" w:eastAsiaTheme="minorEastAsia" w:hAnsiTheme="minorEastAsia"/>
        </w:rPr>
      </w:pPr>
      <w:bookmarkStart w:id="102" w:name="_Toc158136576"/>
      <w:r w:rsidRPr="00D01A63">
        <w:rPr>
          <w:rFonts w:asciiTheme="minorEastAsia" w:eastAsiaTheme="minorEastAsia" w:hAnsiTheme="minorEastAsia" w:hint="eastAsia"/>
        </w:rPr>
        <w:t>气柜应设上、</w:t>
      </w:r>
      <w:proofErr w:type="gramStart"/>
      <w:r w:rsidRPr="00D01A63">
        <w:rPr>
          <w:rFonts w:asciiTheme="minorEastAsia" w:eastAsiaTheme="minorEastAsia" w:hAnsiTheme="minorEastAsia" w:hint="eastAsia"/>
        </w:rPr>
        <w:t>下限位</w:t>
      </w:r>
      <w:proofErr w:type="gramEnd"/>
      <w:r w:rsidRPr="00D01A63">
        <w:rPr>
          <w:rFonts w:asciiTheme="minorEastAsia" w:eastAsiaTheme="minorEastAsia" w:hAnsiTheme="minorEastAsia" w:hint="eastAsia"/>
        </w:rPr>
        <w:t>报警装置，并宜设进出管道自动</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切断装置。气柜安全设施应满足GB 51066、GB/T 51094、SHS 01036等要求。</w:t>
      </w:r>
      <w:bookmarkEnd w:id="102"/>
    </w:p>
    <w:p w:rsidR="00D01A63" w:rsidRPr="00D01A63" w:rsidRDefault="00D01A63" w:rsidP="00D01A63">
      <w:pPr>
        <w:pStyle w:val="a2"/>
        <w:spacing w:before="156" w:after="156"/>
        <w:rPr>
          <w:rFonts w:asciiTheme="minorEastAsia" w:eastAsiaTheme="minorEastAsia" w:hAnsiTheme="minorEastAsia"/>
        </w:rPr>
      </w:pPr>
      <w:bookmarkStart w:id="103" w:name="_Toc158136577"/>
      <w:r w:rsidRPr="00D01A63">
        <w:rPr>
          <w:rFonts w:asciiTheme="minorEastAsia" w:eastAsiaTheme="minorEastAsia" w:hAnsiTheme="minorEastAsia" w:hint="eastAsia"/>
        </w:rPr>
        <w:t>涉及有毒气体、液化气体、剧毒液体、双氧水的一级、二级重大危险源的危险化学品罐区应设独立的安全仪表系统。</w:t>
      </w:r>
      <w:bookmarkEnd w:id="103"/>
    </w:p>
    <w:p w:rsidR="00D01A63" w:rsidRPr="00D01A63" w:rsidRDefault="00D01A63" w:rsidP="00D01A63">
      <w:pPr>
        <w:pStyle w:val="a2"/>
        <w:spacing w:before="156" w:after="156"/>
        <w:rPr>
          <w:rFonts w:asciiTheme="minorEastAsia" w:eastAsiaTheme="minorEastAsia" w:hAnsiTheme="minorEastAsia"/>
        </w:rPr>
      </w:pPr>
      <w:bookmarkStart w:id="104" w:name="_Toc158136578"/>
      <w:r w:rsidRPr="00D01A63">
        <w:rPr>
          <w:rFonts w:asciiTheme="minorEastAsia" w:eastAsiaTheme="minorEastAsia" w:hAnsiTheme="minorEastAsia" w:hint="eastAsia"/>
        </w:rPr>
        <w:t>可燃液体和剧毒液体储罐应配备两种不同原理的</w:t>
      </w:r>
      <w:proofErr w:type="gramStart"/>
      <w:r w:rsidRPr="00D01A63">
        <w:rPr>
          <w:rFonts w:asciiTheme="minorEastAsia" w:eastAsiaTheme="minorEastAsia" w:hAnsiTheme="minorEastAsia" w:hint="eastAsia"/>
        </w:rPr>
        <w:t>液位计或</w:t>
      </w:r>
      <w:proofErr w:type="gramEnd"/>
      <w:r w:rsidRPr="00D01A63">
        <w:rPr>
          <w:rFonts w:asciiTheme="minorEastAsia" w:eastAsiaTheme="minorEastAsia" w:hAnsiTheme="minorEastAsia" w:hint="eastAsia"/>
        </w:rPr>
        <w:t>液位开关，安全仪表系统高液位</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测量仪表和基本控制回路液</w:t>
      </w:r>
      <w:proofErr w:type="gramStart"/>
      <w:r w:rsidRPr="00D01A63">
        <w:rPr>
          <w:rFonts w:asciiTheme="minorEastAsia" w:eastAsiaTheme="minorEastAsia" w:hAnsiTheme="minorEastAsia" w:hint="eastAsia"/>
        </w:rPr>
        <w:t>位计应</w:t>
      </w:r>
      <w:proofErr w:type="gramEnd"/>
      <w:r w:rsidRPr="00D01A63">
        <w:rPr>
          <w:rFonts w:asciiTheme="minorEastAsia" w:eastAsiaTheme="minorEastAsia" w:hAnsiTheme="minorEastAsia" w:hint="eastAsia"/>
        </w:rPr>
        <w:t>分开设置。压力储罐应</w:t>
      </w:r>
      <w:proofErr w:type="gramStart"/>
      <w:r w:rsidRPr="00D01A63">
        <w:rPr>
          <w:rFonts w:asciiTheme="minorEastAsia" w:eastAsiaTheme="minorEastAsia" w:hAnsiTheme="minorEastAsia" w:hint="eastAsia"/>
        </w:rPr>
        <w:t>设压力</w:t>
      </w:r>
      <w:proofErr w:type="gramEnd"/>
      <w:r w:rsidRPr="00D01A63">
        <w:rPr>
          <w:rFonts w:asciiTheme="minorEastAsia" w:eastAsiaTheme="minorEastAsia" w:hAnsiTheme="minorEastAsia" w:hint="eastAsia"/>
        </w:rPr>
        <w:t>就地测量仪表和压力远传仪表，并使用不同的取源点。压力储罐液位测量应设一套远传仪表和就地指示仪表，并应另设一套专用于高高液位或低低液位</w:t>
      </w:r>
      <w:proofErr w:type="gramStart"/>
      <w:r w:rsidRPr="00D01A63">
        <w:rPr>
          <w:rFonts w:asciiTheme="minorEastAsia" w:eastAsiaTheme="minorEastAsia" w:hAnsiTheme="minorEastAsia" w:hint="eastAsia"/>
        </w:rPr>
        <w:t>联锁</w:t>
      </w:r>
      <w:proofErr w:type="gramEnd"/>
      <w:r w:rsidRPr="00D01A63">
        <w:rPr>
          <w:rFonts w:asciiTheme="minorEastAsia" w:eastAsiaTheme="minorEastAsia" w:hAnsiTheme="minorEastAsia" w:hint="eastAsia"/>
        </w:rPr>
        <w:t>切断储罐进（出）料阀门的液位测量仪表或液位开关。</w:t>
      </w:r>
      <w:bookmarkEnd w:id="104"/>
    </w:p>
    <w:p w:rsidR="00D01A63" w:rsidRPr="00D01A63" w:rsidRDefault="00D01A63" w:rsidP="00D01A63">
      <w:pPr>
        <w:pStyle w:val="a2"/>
        <w:spacing w:before="156" w:after="156"/>
        <w:rPr>
          <w:rFonts w:asciiTheme="minorEastAsia" w:eastAsiaTheme="minorEastAsia" w:hAnsiTheme="minorEastAsia"/>
        </w:rPr>
      </w:pPr>
      <w:bookmarkStart w:id="105" w:name="_Toc158136579"/>
      <w:r w:rsidRPr="00D01A63">
        <w:rPr>
          <w:rFonts w:asciiTheme="minorEastAsia" w:eastAsiaTheme="minorEastAsia" w:hAnsiTheme="minorEastAsia" w:hint="eastAsia"/>
        </w:rPr>
        <w:t>除工艺特殊要求外，普通无机酸、碱储罐应设置高、</w:t>
      </w:r>
      <w:proofErr w:type="gramStart"/>
      <w:r w:rsidRPr="00D01A63">
        <w:rPr>
          <w:rFonts w:asciiTheme="minorEastAsia" w:eastAsiaTheme="minorEastAsia" w:hAnsiTheme="minorEastAsia" w:hint="eastAsia"/>
        </w:rPr>
        <w:t>低液位</w:t>
      </w:r>
      <w:proofErr w:type="gramEnd"/>
      <w:r w:rsidRPr="00D01A63">
        <w:rPr>
          <w:rFonts w:asciiTheme="minorEastAsia" w:eastAsiaTheme="minorEastAsia" w:hAnsiTheme="minorEastAsia" w:hint="eastAsia"/>
        </w:rPr>
        <w:t>报警信号远传。</w:t>
      </w:r>
      <w:bookmarkEnd w:id="105"/>
    </w:p>
    <w:p w:rsidR="00D01A63" w:rsidRPr="00D01A63" w:rsidRDefault="00D01A63" w:rsidP="00D01A63">
      <w:pPr>
        <w:pStyle w:val="a2"/>
        <w:spacing w:before="156" w:after="156"/>
        <w:rPr>
          <w:rFonts w:asciiTheme="minorEastAsia" w:eastAsiaTheme="minorEastAsia" w:hAnsiTheme="minorEastAsia"/>
        </w:rPr>
      </w:pPr>
      <w:bookmarkStart w:id="106" w:name="_Toc158136580"/>
      <w:r w:rsidRPr="00D01A63">
        <w:rPr>
          <w:rFonts w:asciiTheme="minorEastAsia" w:eastAsiaTheme="minorEastAsia" w:hAnsiTheme="minorEastAsia" w:hint="eastAsia"/>
        </w:rPr>
        <w:t>设有加热、喷淋降温或冷却盘管的储罐应设置液相温度检测和报警设施，应具备自动控制热（冷）媒的功能。</w:t>
      </w:r>
      <w:bookmarkEnd w:id="106"/>
    </w:p>
    <w:p w:rsidR="00D01A63" w:rsidRPr="00D01A63" w:rsidRDefault="00D01A63" w:rsidP="00D01A63">
      <w:pPr>
        <w:pStyle w:val="a2"/>
        <w:spacing w:before="156" w:after="156"/>
        <w:rPr>
          <w:rFonts w:asciiTheme="minorEastAsia" w:eastAsiaTheme="minorEastAsia" w:hAnsiTheme="minorEastAsia"/>
        </w:rPr>
      </w:pPr>
      <w:bookmarkStart w:id="107" w:name="_Toc158136581"/>
      <w:r w:rsidRPr="00D01A63">
        <w:rPr>
          <w:rFonts w:asciiTheme="minorEastAsia" w:eastAsiaTheme="minorEastAsia" w:hAnsiTheme="minorEastAsia" w:hint="eastAsia"/>
        </w:rPr>
        <w:t>设有进料或者出料切断阀的储罐应具备远程紧急切断功能。</w:t>
      </w:r>
      <w:bookmarkEnd w:id="107"/>
    </w:p>
    <w:p w:rsidR="00D01A63" w:rsidRDefault="00D01A63" w:rsidP="00D01A63">
      <w:pPr>
        <w:pStyle w:val="a2"/>
        <w:spacing w:before="156" w:after="156"/>
      </w:pPr>
      <w:bookmarkStart w:id="108" w:name="_Toc158136582"/>
      <w:r w:rsidRPr="00D01A63">
        <w:rPr>
          <w:rFonts w:asciiTheme="minorEastAsia" w:eastAsiaTheme="minorEastAsia" w:hAnsiTheme="minorEastAsia" w:hint="eastAsia"/>
        </w:rPr>
        <w:t>距液化烃和可燃液体（有缓冲罐的可燃液体除外）汽车</w:t>
      </w:r>
      <w:proofErr w:type="gramStart"/>
      <w:r w:rsidRPr="00D01A63">
        <w:rPr>
          <w:rFonts w:asciiTheme="minorEastAsia" w:eastAsiaTheme="minorEastAsia" w:hAnsiTheme="minorEastAsia" w:hint="eastAsia"/>
        </w:rPr>
        <w:t>装卸鹤位</w:t>
      </w:r>
      <w:proofErr w:type="gramEnd"/>
      <w:r w:rsidRPr="00D01A63">
        <w:rPr>
          <w:rFonts w:asciiTheme="minorEastAsia" w:eastAsiaTheme="minorEastAsia" w:hAnsiTheme="minorEastAsia" w:hint="eastAsia"/>
        </w:rPr>
        <w:t>10m以外的装卸管道上应设便于操作的紧急切断阀。液氯、液氨、液化石油气、液化天然气、液化烃等易燃易爆、有毒有害液化气体的充装，应使用金属万向管道充装系统，并在装卸鹤管口处设置拉断阀</w:t>
      </w:r>
      <w:r>
        <w:rPr>
          <w:rFonts w:hint="eastAsia"/>
        </w:rPr>
        <w:t>。</w:t>
      </w:r>
      <w:bookmarkEnd w:id="108"/>
    </w:p>
    <w:p w:rsidR="00D01A63" w:rsidRDefault="00B64FDC" w:rsidP="00D01A63">
      <w:pPr>
        <w:pStyle w:val="a1"/>
        <w:spacing w:before="312" w:after="312"/>
      </w:pPr>
      <w:bookmarkStart w:id="109" w:name="_Toc158136583"/>
      <w:bookmarkStart w:id="110" w:name="_Toc158136681"/>
      <w:r>
        <w:rPr>
          <w:rFonts w:hint="eastAsia"/>
        </w:rPr>
        <w:t>公用工程</w:t>
      </w:r>
      <w:bookmarkEnd w:id="109"/>
      <w:bookmarkEnd w:id="110"/>
    </w:p>
    <w:p w:rsidR="00B64FDC" w:rsidRPr="00B64FDC" w:rsidRDefault="00B64FDC" w:rsidP="00B64FDC">
      <w:pPr>
        <w:pStyle w:val="a2"/>
        <w:spacing w:before="156" w:after="156"/>
        <w:rPr>
          <w:rFonts w:asciiTheme="minorEastAsia" w:eastAsiaTheme="minorEastAsia" w:hAnsiTheme="minorEastAsia"/>
        </w:rPr>
      </w:pPr>
      <w:bookmarkStart w:id="111" w:name="_Toc158136584"/>
      <w:r w:rsidRPr="00B64FDC">
        <w:rPr>
          <w:rFonts w:asciiTheme="minorEastAsia" w:eastAsiaTheme="minorEastAsia" w:hAnsiTheme="minorEastAsia" w:hint="eastAsia"/>
        </w:rPr>
        <w:t>蒸汽管网应</w:t>
      </w:r>
      <w:proofErr w:type="gramStart"/>
      <w:r w:rsidRPr="00B64FDC">
        <w:rPr>
          <w:rFonts w:asciiTheme="minorEastAsia" w:eastAsiaTheme="minorEastAsia" w:hAnsiTheme="minorEastAsia" w:hint="eastAsia"/>
        </w:rPr>
        <w:t>设压力</w:t>
      </w:r>
      <w:proofErr w:type="gramEnd"/>
      <w:r w:rsidRPr="00B64FDC">
        <w:rPr>
          <w:rFonts w:asciiTheme="minorEastAsia" w:eastAsiaTheme="minorEastAsia" w:hAnsiTheme="minorEastAsia" w:hint="eastAsia"/>
        </w:rPr>
        <w:t>远传，并宜设总管流量远传和压力高、低报警。产生蒸汽的汽包应设置压力、液位检测和报警，汽包设置</w:t>
      </w:r>
      <w:proofErr w:type="gramStart"/>
      <w:r w:rsidRPr="00B64FDC">
        <w:rPr>
          <w:rFonts w:asciiTheme="minorEastAsia" w:eastAsiaTheme="minorEastAsia" w:hAnsiTheme="minorEastAsia" w:hint="eastAsia"/>
        </w:rPr>
        <w:t>双液位就地和</w:t>
      </w:r>
      <w:proofErr w:type="gramEnd"/>
      <w:r w:rsidRPr="00B64FDC">
        <w:rPr>
          <w:rFonts w:asciiTheme="minorEastAsia" w:eastAsiaTheme="minorEastAsia" w:hAnsiTheme="minorEastAsia" w:hint="eastAsia"/>
        </w:rPr>
        <w:t>远程显示，并设置液位自动化控制和高、</w:t>
      </w:r>
      <w:proofErr w:type="gramStart"/>
      <w:r w:rsidRPr="00B64FDC">
        <w:rPr>
          <w:rFonts w:asciiTheme="minorEastAsia" w:eastAsiaTheme="minorEastAsia" w:hAnsiTheme="minorEastAsia" w:hint="eastAsia"/>
        </w:rPr>
        <w:t>低液位联锁</w:t>
      </w:r>
      <w:proofErr w:type="gramEnd"/>
      <w:r w:rsidRPr="00B64FDC">
        <w:rPr>
          <w:rFonts w:asciiTheme="minorEastAsia" w:eastAsiaTheme="minorEastAsia" w:hAnsiTheme="minorEastAsia" w:hint="eastAsia"/>
        </w:rPr>
        <w:t>。蒸汽过热器应在过热器出口设置温度控制回路，必要时设置温度高高</w:t>
      </w:r>
      <w:proofErr w:type="gramStart"/>
      <w:r w:rsidRPr="00B64FDC">
        <w:rPr>
          <w:rFonts w:asciiTheme="minorEastAsia" w:eastAsiaTheme="minorEastAsia" w:hAnsiTheme="minorEastAsia" w:hint="eastAsia"/>
        </w:rPr>
        <w:t>联锁</w:t>
      </w:r>
      <w:proofErr w:type="gramEnd"/>
      <w:r w:rsidRPr="00B64FDC">
        <w:rPr>
          <w:rFonts w:asciiTheme="minorEastAsia" w:eastAsiaTheme="minorEastAsia" w:hAnsiTheme="minorEastAsia" w:hint="eastAsia"/>
        </w:rPr>
        <w:t>。</w:t>
      </w:r>
      <w:bookmarkEnd w:id="111"/>
    </w:p>
    <w:p w:rsidR="00B64FDC" w:rsidRPr="00B64FDC" w:rsidRDefault="00B64FDC" w:rsidP="00B64FDC">
      <w:pPr>
        <w:pStyle w:val="a2"/>
        <w:spacing w:before="156" w:after="156"/>
        <w:rPr>
          <w:rFonts w:asciiTheme="minorEastAsia" w:eastAsiaTheme="minorEastAsia" w:hAnsiTheme="minorEastAsia"/>
        </w:rPr>
      </w:pPr>
      <w:bookmarkStart w:id="112" w:name="_Toc158136585"/>
      <w:r w:rsidRPr="00B64FDC">
        <w:rPr>
          <w:rFonts w:asciiTheme="minorEastAsia" w:eastAsiaTheme="minorEastAsia" w:hAnsiTheme="minorEastAsia" w:hint="eastAsia"/>
        </w:rPr>
        <w:t>冷冻盐水、循环水或其它低于常温的冷却系统应设置温度和流量/压力检测，并设置温度高和流量/压力低报警。循环水泵应设置故障停机报警，循环水总管压力/流量低低信号和</w:t>
      </w:r>
      <w:proofErr w:type="gramStart"/>
      <w:r w:rsidRPr="00B64FDC">
        <w:rPr>
          <w:rFonts w:asciiTheme="minorEastAsia" w:eastAsiaTheme="minorEastAsia" w:hAnsiTheme="minorEastAsia" w:hint="eastAsia"/>
        </w:rPr>
        <w:t>联锁</w:t>
      </w:r>
      <w:proofErr w:type="gramEnd"/>
      <w:r w:rsidRPr="00B64FDC">
        <w:rPr>
          <w:rFonts w:asciiTheme="minorEastAsia" w:eastAsiaTheme="minorEastAsia" w:hAnsiTheme="minorEastAsia" w:hint="eastAsia"/>
        </w:rPr>
        <w:t>停机信号应远传报警。</w:t>
      </w:r>
      <w:bookmarkEnd w:id="112"/>
    </w:p>
    <w:p w:rsidR="00B64FDC" w:rsidRPr="00B64FDC" w:rsidRDefault="00B64FDC" w:rsidP="00B64FDC">
      <w:pPr>
        <w:pStyle w:val="a2"/>
        <w:spacing w:before="156" w:after="156"/>
        <w:rPr>
          <w:rFonts w:asciiTheme="minorEastAsia" w:eastAsiaTheme="minorEastAsia" w:hAnsiTheme="minorEastAsia"/>
        </w:rPr>
      </w:pPr>
      <w:bookmarkStart w:id="113" w:name="_Toc158136586"/>
      <w:r w:rsidRPr="00B64FDC">
        <w:rPr>
          <w:rFonts w:asciiTheme="minorEastAsia" w:eastAsiaTheme="minorEastAsia" w:hAnsiTheme="minorEastAsia" w:hint="eastAsia"/>
        </w:rPr>
        <w:t>导热油炉出口温度应设置自动化控制回路，出口温度应与燃料流量</w:t>
      </w:r>
      <w:proofErr w:type="gramStart"/>
      <w:r w:rsidRPr="00B64FDC">
        <w:rPr>
          <w:rFonts w:asciiTheme="minorEastAsia" w:eastAsiaTheme="minorEastAsia" w:hAnsiTheme="minorEastAsia" w:hint="eastAsia"/>
        </w:rPr>
        <w:t>联锁</w:t>
      </w:r>
      <w:proofErr w:type="gramEnd"/>
      <w:r w:rsidRPr="00B64FDC">
        <w:rPr>
          <w:rFonts w:asciiTheme="minorEastAsia" w:eastAsiaTheme="minorEastAsia" w:hAnsiTheme="minorEastAsia" w:hint="eastAsia"/>
        </w:rPr>
        <w:t>。导热油管进入加热单元处应设置紧急切断阀。使用天然气的导热油炉、加热炉应有火焰检测装置，燃气导热油燃烧器应设置自动点火装置和熄火保护装置。</w:t>
      </w:r>
      <w:bookmarkEnd w:id="113"/>
    </w:p>
    <w:p w:rsidR="00B64FDC" w:rsidRPr="00B64FDC" w:rsidRDefault="00B64FDC" w:rsidP="00B64FDC">
      <w:pPr>
        <w:pStyle w:val="a2"/>
        <w:spacing w:before="156" w:after="156"/>
        <w:rPr>
          <w:rFonts w:asciiTheme="minorEastAsia" w:eastAsiaTheme="minorEastAsia" w:hAnsiTheme="minorEastAsia"/>
        </w:rPr>
      </w:pPr>
      <w:bookmarkStart w:id="114" w:name="_Toc158136587"/>
      <w:r w:rsidRPr="00B64FDC">
        <w:rPr>
          <w:rFonts w:asciiTheme="minorEastAsia" w:eastAsiaTheme="minorEastAsia" w:hAnsiTheme="minorEastAsia" w:hint="eastAsia"/>
        </w:rPr>
        <w:t>控制室应设置仪表供气系统的监视与报警功能，包括气源总管压力指示、低限压力报警。仪表气源装置在送出总管上应设置在线露点仪，并符合HG/T 20510</w:t>
      </w:r>
      <w:r w:rsidR="00A226CA">
        <w:rPr>
          <w:rFonts w:asciiTheme="minorEastAsia" w:eastAsiaTheme="minorEastAsia" w:hAnsiTheme="minorEastAsia" w:hint="eastAsia"/>
        </w:rPr>
        <w:t>的规定</w:t>
      </w:r>
      <w:r w:rsidRPr="00B64FDC">
        <w:rPr>
          <w:rFonts w:asciiTheme="minorEastAsia" w:eastAsiaTheme="minorEastAsia" w:hAnsiTheme="minorEastAsia" w:hint="eastAsia"/>
        </w:rPr>
        <w:t>要求，信号送控制室。当采用备用</w:t>
      </w:r>
      <w:r w:rsidRPr="00B64FDC">
        <w:rPr>
          <w:rFonts w:asciiTheme="minorEastAsia" w:eastAsiaTheme="minorEastAsia" w:hAnsiTheme="minorEastAsia" w:hint="eastAsia"/>
        </w:rPr>
        <w:lastRenderedPageBreak/>
        <w:t>压缩机组时，应采用自动切换方式；当备用压缩机组不具备自动切换时，应设置备用气源罐，备用气源</w:t>
      </w:r>
      <w:proofErr w:type="gramStart"/>
      <w:r w:rsidRPr="00B64FDC">
        <w:rPr>
          <w:rFonts w:asciiTheme="minorEastAsia" w:eastAsiaTheme="minorEastAsia" w:hAnsiTheme="minorEastAsia" w:hint="eastAsia"/>
        </w:rPr>
        <w:t>罐大小</w:t>
      </w:r>
      <w:proofErr w:type="gramEnd"/>
      <w:r w:rsidRPr="00B64FDC">
        <w:rPr>
          <w:rFonts w:asciiTheme="minorEastAsia" w:eastAsiaTheme="minorEastAsia" w:hAnsiTheme="minorEastAsia" w:hint="eastAsia"/>
        </w:rPr>
        <w:t>需满足备用空压机启动时间内仪表用气要求。</w:t>
      </w:r>
      <w:bookmarkEnd w:id="114"/>
    </w:p>
    <w:p w:rsidR="00B64FDC" w:rsidRPr="00B64FDC" w:rsidRDefault="00B64FDC" w:rsidP="00B64FDC">
      <w:pPr>
        <w:pStyle w:val="a2"/>
        <w:spacing w:before="156" w:after="156"/>
        <w:rPr>
          <w:rFonts w:asciiTheme="minorEastAsia" w:eastAsiaTheme="minorEastAsia" w:hAnsiTheme="minorEastAsia"/>
        </w:rPr>
      </w:pPr>
      <w:bookmarkStart w:id="115" w:name="_Toc158136588"/>
      <w:r w:rsidRPr="00B64FDC">
        <w:rPr>
          <w:rFonts w:asciiTheme="minorEastAsia" w:eastAsiaTheme="minorEastAsia" w:hAnsiTheme="minorEastAsia" w:hint="eastAsia"/>
        </w:rPr>
        <w:t>RTO应设置自动化控制系统，并符合苏应急〔2021〕46号的规定要求。</w:t>
      </w:r>
      <w:bookmarkEnd w:id="115"/>
    </w:p>
    <w:p w:rsidR="00B64FDC" w:rsidRDefault="00B64FDC" w:rsidP="00B64FDC">
      <w:pPr>
        <w:pStyle w:val="afff3"/>
      </w:pPr>
      <w:bookmarkStart w:id="116" w:name="BKCKWX"/>
      <w:bookmarkStart w:id="117" w:name="_Toc158136589"/>
      <w:bookmarkStart w:id="118" w:name="_Toc158136682"/>
      <w:r>
        <w:rPr>
          <w:rFonts w:hint="eastAsia"/>
        </w:rPr>
        <w:lastRenderedPageBreak/>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116"/>
      <w:bookmarkEnd w:id="117"/>
      <w:bookmarkEnd w:id="118"/>
    </w:p>
    <w:p w:rsidR="00B64FDC" w:rsidRDefault="00B64FDC" w:rsidP="00B64FDC">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[1] GB 17681 易燃易爆罐区安全监控预警系统验收技术要求</w:t>
      </w:r>
    </w:p>
    <w:p w:rsidR="00B64FDC" w:rsidRDefault="00B64FDC" w:rsidP="00B64FDC">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[2] GB/T 20438 电气/电子/可编程电子安全相关系统的功能安全标准</w:t>
      </w:r>
    </w:p>
    <w:p w:rsidR="00B64FDC" w:rsidRDefault="00B64FDC" w:rsidP="00B64FDC">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[3] GB/T 21109 过程工业领域安全仪表系统的功能安全</w:t>
      </w:r>
    </w:p>
    <w:p w:rsidR="00B64FDC" w:rsidRDefault="00B64FDC" w:rsidP="00B64FDC">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[4] GB 50016 建筑设计防火规范</w:t>
      </w:r>
    </w:p>
    <w:p w:rsidR="00B64FDC" w:rsidRDefault="00B64FDC" w:rsidP="00B64FDC">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[5] GB 50052 供配电系统设计规范</w:t>
      </w:r>
    </w:p>
    <w:p w:rsidR="00B64FDC" w:rsidRDefault="00B64FDC" w:rsidP="00B64FDC">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[6] GB 50074 石油库设计规范</w:t>
      </w:r>
    </w:p>
    <w:p w:rsidR="00B64FDC" w:rsidRDefault="00B64FDC" w:rsidP="00B64FDC">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[7] GB 50737 石油储备库设计规范</w:t>
      </w:r>
    </w:p>
    <w:p w:rsidR="00B64FDC" w:rsidRDefault="00B64FDC" w:rsidP="00B64FDC">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[8] GB 51283 精细化工企业工程设计防火标准</w:t>
      </w:r>
    </w:p>
    <w:p w:rsidR="00B64FDC" w:rsidRDefault="00B64FDC" w:rsidP="00B64FDC">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[9] HG/T 20509 仪表供电设计规范</w:t>
      </w:r>
    </w:p>
    <w:p w:rsidR="00B64FDC" w:rsidRDefault="00B64FDC" w:rsidP="00B64FDC">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[10] HG/T 20511 信号报警及联锁设计规范</w:t>
      </w:r>
    </w:p>
    <w:p w:rsidR="00B64FDC" w:rsidRDefault="00B64FDC" w:rsidP="00B64FDC">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[11] HG/T 20512 仪表配管配线设计规范</w:t>
      </w:r>
    </w:p>
    <w:p w:rsidR="00B64FDC" w:rsidRDefault="00B64FDC" w:rsidP="00B64FDC">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[12] HG/T 20513 仪表系统接地设计规范</w:t>
      </w:r>
    </w:p>
    <w:p w:rsidR="00B64FDC" w:rsidRDefault="00B64FDC" w:rsidP="00B64FDC">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[13] SH/T 3104 石油化工仪表安装设计规范</w:t>
      </w:r>
    </w:p>
    <w:p w:rsidR="00B64FDC" w:rsidRDefault="00B64FDC" w:rsidP="00B64FDC">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[14] SH/T 3092 石油化工分散控制系统设计规范</w:t>
      </w:r>
    </w:p>
    <w:p w:rsidR="00B64FDC" w:rsidRDefault="00B64FDC" w:rsidP="00B64FDC">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[15] SH 3136 液化烃球形储罐安全设计规范</w:t>
      </w:r>
    </w:p>
    <w:p w:rsidR="00B64FDC" w:rsidRDefault="00B64FDC" w:rsidP="00B64FDC">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[16] SH 3521 石油化工仪表工程施工技术规程</w:t>
      </w:r>
    </w:p>
    <w:p w:rsidR="00B64FDC" w:rsidRDefault="00B64FDC" w:rsidP="00B64FDC">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[17] AQ/T 3054 保护层分析（LOPA）方法应用导则</w:t>
      </w:r>
    </w:p>
    <w:p w:rsidR="00B64FDC" w:rsidRDefault="00B64FDC" w:rsidP="00B64FDC">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[18] AQ/T 3049 危险与可操作性分析(HAZOP分析)应用导则</w:t>
      </w:r>
    </w:p>
    <w:p w:rsidR="00B64FDC" w:rsidRDefault="00B64FDC" w:rsidP="00B64FDC">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[19] 《化工和危险化学品生产经营单位重大生产安全事故隐患判定标准(试行)》 (安监总管三〔2017〕121 号)</w:t>
      </w:r>
    </w:p>
    <w:p w:rsidR="00B64FDC" w:rsidRDefault="00B64FDC" w:rsidP="00B64FDC">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[20] 《国务院安全生产委员会关于印发&lt;全国安全生产专项整治三年行动计划&gt;的通知》(安委〔2020〕3号)</w:t>
      </w:r>
    </w:p>
    <w:p w:rsidR="00B64FDC" w:rsidRDefault="00B64FDC" w:rsidP="00B64FDC">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[21] 《关于进一步加强危险化学品建设项目安全设计管理的通知》（安监总管三〔2013〕76号）</w:t>
      </w:r>
    </w:p>
    <w:p w:rsidR="00B64FDC" w:rsidRDefault="00B64FDC" w:rsidP="00B64FDC">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[22]  《关于开展重点化工（危险化学品）企业本质安全诊断治理专项行动的通知》（苏安监〔2018〕87号）</w:t>
      </w:r>
    </w:p>
    <w:p w:rsidR="00B64FDC" w:rsidRDefault="00B64FDC" w:rsidP="00B64FDC">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[23] 《关于印发〈本质安全诊断治理基本要求〉的通知》（苏应急〔2019〕53号）</w:t>
      </w:r>
    </w:p>
    <w:p w:rsidR="00B64FDC" w:rsidRDefault="00B64FDC" w:rsidP="00B64FDC">
      <w:pPr>
        <w:widowControl/>
        <w:tabs>
          <w:tab w:val="center" w:pos="4201"/>
          <w:tab w:val="right" w:leader="dot" w:pos="9298"/>
        </w:tabs>
        <w:autoSpaceDE w:val="0"/>
        <w:autoSpaceDN w:val="0"/>
        <w:ind w:firstLineChars="200" w:firstLine="420"/>
        <w:rPr>
          <w:rFonts w:ascii="宋体"/>
          <w:noProof/>
          <w:kern w:val="0"/>
          <w:szCs w:val="20"/>
        </w:rPr>
      </w:pPr>
      <w:r>
        <w:rPr>
          <w:rFonts w:ascii="宋体" w:hint="eastAsia"/>
          <w:noProof/>
          <w:kern w:val="0"/>
          <w:szCs w:val="20"/>
        </w:rPr>
        <w:t>[24] 《关于推动建立高危细分领域安全风险防控长效机制的通知》</w:t>
      </w:r>
    </w:p>
    <w:p w:rsidR="00B64FDC" w:rsidRPr="00B64FDC" w:rsidRDefault="00B64FDC" w:rsidP="00B64FDC">
      <w:pPr>
        <w:pStyle w:val="aff6"/>
      </w:pPr>
    </w:p>
    <w:p w:rsidR="00096367" w:rsidRPr="00096367" w:rsidRDefault="00096367" w:rsidP="00096367">
      <w:pPr>
        <w:pStyle w:val="affffff4"/>
        <w:framePr w:wrap="around"/>
      </w:pPr>
      <w:r>
        <w:t>_________________________________</w:t>
      </w:r>
    </w:p>
    <w:sectPr w:rsidR="00096367" w:rsidRPr="00096367" w:rsidSect="00F34B99">
      <w:pgSz w:w="11906" w:h="16838" w:code="9"/>
      <w:pgMar w:top="567" w:right="1134" w:bottom="1134" w:left="1418" w:header="1418" w:footer="1134" w:gutter="0"/>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DA2" w:rsidRDefault="00C15DA2">
      <w:r>
        <w:separator/>
      </w:r>
    </w:p>
  </w:endnote>
  <w:endnote w:type="continuationSeparator" w:id="0">
    <w:p w:rsidR="00C15DA2" w:rsidRDefault="00C15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367" w:rsidRDefault="00096367" w:rsidP="00096367">
    <w:pPr>
      <w:pStyle w:val="aff7"/>
    </w:pPr>
    <w:r>
      <w:fldChar w:fldCharType="begin"/>
    </w:r>
    <w:r>
      <w:instrText xml:space="preserve"> PAGE  \* MERGEFORMAT </w:instrText>
    </w:r>
    <w:r>
      <w:fldChar w:fldCharType="separate"/>
    </w:r>
    <w:r w:rsidR="00C15DA2">
      <w:rPr>
        <w:noProof/>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DA2" w:rsidRDefault="00C15DA2">
      <w:r>
        <w:separator/>
      </w:r>
    </w:p>
  </w:footnote>
  <w:footnote w:type="continuationSeparator" w:id="0">
    <w:p w:rsidR="00C15DA2" w:rsidRDefault="00C15D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367" w:rsidRDefault="00096367">
    <w:pPr>
      <w:pStyle w:val="affc"/>
    </w:pPr>
    <w:r>
      <w:t>DB 32/T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89E0FB4"/>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1C5C340A"/>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4E0EF3C2"/>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53D46702"/>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D828F28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CBCCD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997A8AF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E8A2485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3800D768"/>
    <w:lvl w:ilvl="0">
      <w:start w:val="1"/>
      <w:numFmt w:val="decimal"/>
      <w:lvlText w:val="%1."/>
      <w:lvlJc w:val="left"/>
      <w:pPr>
        <w:tabs>
          <w:tab w:val="num" w:pos="360"/>
        </w:tabs>
        <w:ind w:left="360" w:hangingChars="200" w:hanging="360"/>
      </w:pPr>
    </w:lvl>
  </w:abstractNum>
  <w:abstractNum w:abstractNumId="9">
    <w:nsid w:val="FFFFFF89"/>
    <w:multiLevelType w:val="singleLevel"/>
    <w:tmpl w:val="A78C4BA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A952887"/>
    <w:multiLevelType w:val="multilevel"/>
    <w:tmpl w:val="448659B0"/>
    <w:lvl w:ilvl="0">
      <w:start w:val="1"/>
      <w:numFmt w:val="decimal"/>
      <w:pStyle w:val="a"/>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1">
    <w:nsid w:val="0F805D97"/>
    <w:multiLevelType w:val="multilevel"/>
    <w:tmpl w:val="20885CF2"/>
    <w:lvl w:ilvl="0">
      <w:start w:val="1"/>
      <w:numFmt w:val="none"/>
      <w:pStyle w:val="a0"/>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2">
    <w:nsid w:val="1DBF583A"/>
    <w:multiLevelType w:val="multilevel"/>
    <w:tmpl w:val="11B000D8"/>
    <w:lvl w:ilvl="0">
      <w:start w:val="1"/>
      <w:numFmt w:val="decimal"/>
      <w:lvlRestart w:val="0"/>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3">
    <w:nsid w:val="1FC91163"/>
    <w:multiLevelType w:val="multilevel"/>
    <w:tmpl w:val="855EE140"/>
    <w:lvl w:ilvl="0">
      <w:start w:val="1"/>
      <w:numFmt w:val="decimal"/>
      <w:pStyle w:val="a1"/>
      <w:suff w:val="nothing"/>
      <w:lvlText w:val="%1　"/>
      <w:lvlJc w:val="left"/>
      <w:pPr>
        <w:ind w:left="0" w:firstLine="0"/>
      </w:pPr>
      <w:rPr>
        <w:rFonts w:ascii="黑体" w:eastAsia="黑体" w:hAnsi="Times New Roman" w:hint="eastAsia"/>
        <w:b w:val="0"/>
        <w:i w:val="0"/>
        <w:sz w:val="21"/>
        <w:szCs w:val="21"/>
      </w:rPr>
    </w:lvl>
    <w:lvl w:ilvl="1">
      <w:start w:val="1"/>
      <w:numFmt w:val="decimal"/>
      <w:pStyle w:val="a2"/>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3"/>
      <w:suff w:val="nothing"/>
      <w:lvlText w:val="%1.%2.%3　"/>
      <w:lvlJc w:val="left"/>
      <w:pPr>
        <w:ind w:left="0" w:firstLine="0"/>
      </w:pPr>
      <w:rPr>
        <w:rFonts w:ascii="黑体" w:eastAsia="黑体" w:hAnsi="Times New Roman" w:hint="eastAsia"/>
        <w:b w:val="0"/>
        <w:i w:val="0"/>
        <w:sz w:val="21"/>
      </w:rPr>
    </w:lvl>
    <w:lvl w:ilvl="3">
      <w:start w:val="1"/>
      <w:numFmt w:val="decimal"/>
      <w:pStyle w:val="a4"/>
      <w:suff w:val="nothing"/>
      <w:lvlText w:val="%1.%2.%3.%4　"/>
      <w:lvlJc w:val="left"/>
      <w:pPr>
        <w:ind w:left="0" w:firstLine="0"/>
      </w:pPr>
      <w:rPr>
        <w:rFonts w:ascii="黑体" w:eastAsia="黑体" w:hAnsi="Times New Roman" w:hint="eastAsia"/>
        <w:b w:val="0"/>
        <w:i w:val="0"/>
        <w:sz w:val="21"/>
      </w:rPr>
    </w:lvl>
    <w:lvl w:ilvl="4">
      <w:start w:val="1"/>
      <w:numFmt w:val="decimal"/>
      <w:pStyle w:val="a5"/>
      <w:suff w:val="nothing"/>
      <w:lvlText w:val="%1.%2.%3.%4.%5　"/>
      <w:lvlJc w:val="left"/>
      <w:pPr>
        <w:ind w:left="0" w:firstLine="0"/>
      </w:pPr>
      <w:rPr>
        <w:rFonts w:ascii="黑体" w:eastAsia="黑体" w:hAnsi="Times New Roman" w:hint="eastAsia"/>
        <w:b w:val="0"/>
        <w:i w:val="0"/>
        <w:sz w:val="21"/>
      </w:rPr>
    </w:lvl>
    <w:lvl w:ilvl="5">
      <w:start w:val="1"/>
      <w:numFmt w:val="decimal"/>
      <w:pStyle w:val="a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24B435DB"/>
    <w:multiLevelType w:val="multilevel"/>
    <w:tmpl w:val="9B92BB8A"/>
    <w:lvl w:ilvl="0">
      <w:start w:val="1"/>
      <w:numFmt w:val="lowerLetter"/>
      <w:pStyle w:val="a7"/>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15">
    <w:nsid w:val="29707437"/>
    <w:multiLevelType w:val="multilevel"/>
    <w:tmpl w:val="A782BD78"/>
    <w:lvl w:ilvl="0">
      <w:start w:val="1"/>
      <w:numFmt w:val="none"/>
      <w:pStyle w:val="a8"/>
      <w:suff w:val="nothing"/>
      <w:lvlText w:val="%1注："/>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6">
    <w:nsid w:val="2A8F7113"/>
    <w:multiLevelType w:val="multilevel"/>
    <w:tmpl w:val="76786F08"/>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7">
    <w:nsid w:val="2C5917C3"/>
    <w:multiLevelType w:val="multilevel"/>
    <w:tmpl w:val="C9A69A3E"/>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num" w:pos="760"/>
        </w:tabs>
        <w:ind w:left="1264" w:hanging="413"/>
      </w:pPr>
      <w:rPr>
        <w:rFonts w:ascii="Symbol" w:hAnsi="Symbol" w:hint="default"/>
        <w:color w:val="auto"/>
      </w:rPr>
    </w:lvl>
    <w:lvl w:ilvl="2">
      <w:start w:val="1"/>
      <w:numFmt w:val="bullet"/>
      <w:pStyle w:val="ad"/>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8">
    <w:nsid w:val="3D733618"/>
    <w:multiLevelType w:val="multilevel"/>
    <w:tmpl w:val="193A04F0"/>
    <w:lvl w:ilvl="0">
      <w:start w:val="1"/>
      <w:numFmt w:val="decimal"/>
      <w:pStyle w:val="ae"/>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9">
    <w:nsid w:val="44C50F90"/>
    <w:multiLevelType w:val="multilevel"/>
    <w:tmpl w:val="ED0C9B78"/>
    <w:lvl w:ilvl="0">
      <w:start w:val="1"/>
      <w:numFmt w:val="lowerLetter"/>
      <w:pStyle w:val="af"/>
      <w:lvlText w:val="%1)"/>
      <w:lvlJc w:val="left"/>
      <w:pPr>
        <w:tabs>
          <w:tab w:val="num" w:pos="840"/>
        </w:tabs>
        <w:ind w:left="839" w:hanging="419"/>
      </w:pPr>
      <w:rPr>
        <w:rFonts w:ascii="宋体" w:eastAsia="宋体" w:hint="eastAsia"/>
        <w:b w:val="0"/>
        <w:i w:val="0"/>
        <w:sz w:val="21"/>
        <w:szCs w:val="21"/>
      </w:rPr>
    </w:lvl>
    <w:lvl w:ilvl="1">
      <w:start w:val="1"/>
      <w:numFmt w:val="decimal"/>
      <w:pStyle w:val="af0"/>
      <w:lvlText w:val="%2)"/>
      <w:lvlJc w:val="left"/>
      <w:pPr>
        <w:tabs>
          <w:tab w:val="num" w:pos="1260"/>
        </w:tabs>
        <w:ind w:left="1259" w:hanging="419"/>
      </w:pPr>
      <w:rPr>
        <w:rFonts w:hint="eastAsia"/>
      </w:rPr>
    </w:lvl>
    <w:lvl w:ilvl="2">
      <w:start w:val="1"/>
      <w:numFmt w:val="decimal"/>
      <w:pStyle w:val="af1"/>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0">
    <w:nsid w:val="520F62E9"/>
    <w:multiLevelType w:val="multilevel"/>
    <w:tmpl w:val="63ECDC36"/>
    <w:lvl w:ilvl="0">
      <w:start w:val="1"/>
      <w:numFmt w:val="decimal"/>
      <w:pStyle w:val="af2"/>
      <w:suff w:val="nothing"/>
      <w:lvlText w:val="图%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E63562F"/>
    <w:multiLevelType w:val="multilevel"/>
    <w:tmpl w:val="1DDCEE8C"/>
    <w:lvl w:ilvl="0">
      <w:start w:val="1"/>
      <w:numFmt w:val="decimal"/>
      <w:pStyle w:val="af3"/>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2">
    <w:nsid w:val="60B55DC2"/>
    <w:multiLevelType w:val="multilevel"/>
    <w:tmpl w:val="9DCC486E"/>
    <w:lvl w:ilvl="0">
      <w:start w:val="1"/>
      <w:numFmt w:val="upperLetter"/>
      <w:pStyle w:val="af4"/>
      <w:lvlText w:val="%1"/>
      <w:lvlJc w:val="left"/>
      <w:pPr>
        <w:tabs>
          <w:tab w:val="num"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3">
    <w:nsid w:val="63404DBE"/>
    <w:multiLevelType w:val="multilevel"/>
    <w:tmpl w:val="22F8E8CE"/>
    <w:lvl w:ilvl="0">
      <w:start w:val="1"/>
      <w:numFmt w:val="none"/>
      <w:pStyle w:val="af6"/>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24">
    <w:nsid w:val="63AF7EBF"/>
    <w:multiLevelType w:val="multilevel"/>
    <w:tmpl w:val="E3F4BDF4"/>
    <w:lvl w:ilvl="0">
      <w:start w:val="1"/>
      <w:numFmt w:val="decimal"/>
      <w:pStyle w:val="af7"/>
      <w:suff w:val="nothing"/>
      <w:lvlText w:val="表%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nsid w:val="6AB870ED"/>
    <w:multiLevelType w:val="multilevel"/>
    <w:tmpl w:val="DD022556"/>
    <w:lvl w:ilvl="0">
      <w:start w:val="1"/>
      <w:numFmt w:val="decimal"/>
      <w:pStyle w:val="aff"/>
      <w:suff w:val="nothing"/>
      <w:lvlText w:val="示例%1："/>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27">
    <w:nsid w:val="6D6C07CD"/>
    <w:multiLevelType w:val="multilevel"/>
    <w:tmpl w:val="7A408B34"/>
    <w:lvl w:ilvl="0">
      <w:start w:val="1"/>
      <w:numFmt w:val="lowerLetter"/>
      <w:pStyle w:val="aff0"/>
      <w:lvlText w:val="%1)"/>
      <w:lvlJc w:val="left"/>
      <w:pPr>
        <w:tabs>
          <w:tab w:val="num" w:pos="839"/>
        </w:tabs>
        <w:ind w:left="839" w:hanging="419"/>
      </w:pPr>
      <w:rPr>
        <w:rFonts w:ascii="宋体" w:eastAsia="宋体" w:hint="eastAsia"/>
        <w:b w:val="0"/>
        <w:i w:val="0"/>
        <w:sz w:val="21"/>
      </w:rPr>
    </w:lvl>
    <w:lvl w:ilvl="1">
      <w:start w:val="1"/>
      <w:numFmt w:val="decimal"/>
      <w:pStyle w:val="aff1"/>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num w:numId="1">
    <w:abstractNumId w:val="17"/>
  </w:num>
  <w:num w:numId="2">
    <w:abstractNumId w:val="12"/>
  </w:num>
  <w:num w:numId="3">
    <w:abstractNumId w:val="22"/>
  </w:num>
  <w:num w:numId="4">
    <w:abstractNumId w:val="16"/>
  </w:num>
  <w:num w:numId="5">
    <w:abstractNumId w:val="25"/>
  </w:num>
  <w:num w:numId="6">
    <w:abstractNumId w:val="27"/>
  </w:num>
  <w:num w:numId="7">
    <w:abstractNumId w:val="18"/>
  </w:num>
  <w:num w:numId="8">
    <w:abstractNumId w:val="19"/>
  </w:num>
  <w:num w:numId="9">
    <w:abstractNumId w:val="13"/>
  </w:num>
  <w:num w:numId="10">
    <w:abstractNumId w:val="24"/>
  </w:num>
  <w:num w:numId="11">
    <w:abstractNumId w:val="20"/>
  </w:num>
  <w:num w:numId="12">
    <w:abstractNumId w:val="23"/>
  </w:num>
  <w:num w:numId="13">
    <w:abstractNumId w:val="26"/>
  </w:num>
  <w:num w:numId="14">
    <w:abstractNumId w:val="8"/>
  </w:num>
  <w:num w:numId="15">
    <w:abstractNumId w:val="3"/>
  </w:num>
  <w:num w:numId="16">
    <w:abstractNumId w:val="2"/>
  </w:num>
  <w:num w:numId="17">
    <w:abstractNumId w:val="1"/>
  </w:num>
  <w:num w:numId="18">
    <w:abstractNumId w:val="0"/>
  </w:num>
  <w:num w:numId="19">
    <w:abstractNumId w:val="9"/>
  </w:num>
  <w:num w:numId="20">
    <w:abstractNumId w:val="7"/>
  </w:num>
  <w:num w:numId="21">
    <w:abstractNumId w:val="6"/>
  </w:num>
  <w:num w:numId="22">
    <w:abstractNumId w:val="5"/>
  </w:num>
  <w:num w:numId="23">
    <w:abstractNumId w:val="4"/>
  </w:num>
  <w:num w:numId="24">
    <w:abstractNumId w:val="15"/>
  </w:num>
  <w:num w:numId="25">
    <w:abstractNumId w:val="21"/>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1" w:cryptProviderType="rsaAES" w:cryptAlgorithmClass="hash" w:cryptAlgorithmType="typeAny" w:cryptAlgorithmSid="14" w:cryptSpinCount="100000" w:hash="ivamrD5lrYYJlFPLRTW34Qud91kLbdh9/4yp5md3OX1VTEgm2gUPzVxG5Ys9b28WOcjG4wz3ncKG3bTKyk16EA==" w:salt="ttOlObwpDLNLFr7vdNml+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DA2"/>
    <w:rsid w:val="00000244"/>
    <w:rsid w:val="00000BB3"/>
    <w:rsid w:val="0000185F"/>
    <w:rsid w:val="00004B91"/>
    <w:rsid w:val="00004E32"/>
    <w:rsid w:val="0000586F"/>
    <w:rsid w:val="00013D86"/>
    <w:rsid w:val="00013E02"/>
    <w:rsid w:val="0002143C"/>
    <w:rsid w:val="00025A65"/>
    <w:rsid w:val="00026C31"/>
    <w:rsid w:val="00027280"/>
    <w:rsid w:val="000320A7"/>
    <w:rsid w:val="000325EA"/>
    <w:rsid w:val="00035925"/>
    <w:rsid w:val="00036C2C"/>
    <w:rsid w:val="00045A7C"/>
    <w:rsid w:val="00055371"/>
    <w:rsid w:val="00056A24"/>
    <w:rsid w:val="00057CE5"/>
    <w:rsid w:val="000607A3"/>
    <w:rsid w:val="000657F7"/>
    <w:rsid w:val="00067CDF"/>
    <w:rsid w:val="00074FBE"/>
    <w:rsid w:val="0007762A"/>
    <w:rsid w:val="00081F6E"/>
    <w:rsid w:val="00083A09"/>
    <w:rsid w:val="0009005E"/>
    <w:rsid w:val="000918A9"/>
    <w:rsid w:val="00092001"/>
    <w:rsid w:val="00092618"/>
    <w:rsid w:val="00092857"/>
    <w:rsid w:val="00092BD8"/>
    <w:rsid w:val="00096367"/>
    <w:rsid w:val="000964C7"/>
    <w:rsid w:val="000979D9"/>
    <w:rsid w:val="000A20A9"/>
    <w:rsid w:val="000A48B1"/>
    <w:rsid w:val="000B2F0E"/>
    <w:rsid w:val="000B3143"/>
    <w:rsid w:val="000B405D"/>
    <w:rsid w:val="000C2BE6"/>
    <w:rsid w:val="000C34BA"/>
    <w:rsid w:val="000C6B05"/>
    <w:rsid w:val="000C6DD6"/>
    <w:rsid w:val="000C73D4"/>
    <w:rsid w:val="000D3D4C"/>
    <w:rsid w:val="000D4F51"/>
    <w:rsid w:val="000D718B"/>
    <w:rsid w:val="000E0C46"/>
    <w:rsid w:val="000E15EE"/>
    <w:rsid w:val="000F030C"/>
    <w:rsid w:val="000F129C"/>
    <w:rsid w:val="000F174F"/>
    <w:rsid w:val="00104E29"/>
    <w:rsid w:val="001056DE"/>
    <w:rsid w:val="001124C0"/>
    <w:rsid w:val="00117A25"/>
    <w:rsid w:val="00121293"/>
    <w:rsid w:val="001227EA"/>
    <w:rsid w:val="0013175F"/>
    <w:rsid w:val="0013364D"/>
    <w:rsid w:val="001343BB"/>
    <w:rsid w:val="001512B4"/>
    <w:rsid w:val="001620A5"/>
    <w:rsid w:val="00164E53"/>
    <w:rsid w:val="0016699D"/>
    <w:rsid w:val="001670D9"/>
    <w:rsid w:val="00175159"/>
    <w:rsid w:val="00175AD7"/>
    <w:rsid w:val="00176208"/>
    <w:rsid w:val="0017780C"/>
    <w:rsid w:val="001813B2"/>
    <w:rsid w:val="0018211B"/>
    <w:rsid w:val="00183FE1"/>
    <w:rsid w:val="001840D3"/>
    <w:rsid w:val="00184782"/>
    <w:rsid w:val="0018504E"/>
    <w:rsid w:val="00187A8A"/>
    <w:rsid w:val="001900F8"/>
    <w:rsid w:val="00191258"/>
    <w:rsid w:val="00192680"/>
    <w:rsid w:val="00193037"/>
    <w:rsid w:val="00193375"/>
    <w:rsid w:val="00193A2C"/>
    <w:rsid w:val="001A288E"/>
    <w:rsid w:val="001B6DC2"/>
    <w:rsid w:val="001B754B"/>
    <w:rsid w:val="001C149C"/>
    <w:rsid w:val="001C21AC"/>
    <w:rsid w:val="001C3689"/>
    <w:rsid w:val="001C47BA"/>
    <w:rsid w:val="001C59EA"/>
    <w:rsid w:val="001D406C"/>
    <w:rsid w:val="001D41EE"/>
    <w:rsid w:val="001D4BEB"/>
    <w:rsid w:val="001D71E6"/>
    <w:rsid w:val="001E0380"/>
    <w:rsid w:val="001E0B1B"/>
    <w:rsid w:val="001E13B1"/>
    <w:rsid w:val="001E2153"/>
    <w:rsid w:val="001F3A19"/>
    <w:rsid w:val="002009E4"/>
    <w:rsid w:val="00201053"/>
    <w:rsid w:val="0020251B"/>
    <w:rsid w:val="002073D3"/>
    <w:rsid w:val="00215D48"/>
    <w:rsid w:val="0021624B"/>
    <w:rsid w:val="0022185E"/>
    <w:rsid w:val="00227FED"/>
    <w:rsid w:val="0023030A"/>
    <w:rsid w:val="00230F08"/>
    <w:rsid w:val="00234467"/>
    <w:rsid w:val="00235BE6"/>
    <w:rsid w:val="00237D8D"/>
    <w:rsid w:val="00241DA2"/>
    <w:rsid w:val="00247FEE"/>
    <w:rsid w:val="00250E7D"/>
    <w:rsid w:val="002523DB"/>
    <w:rsid w:val="002527DD"/>
    <w:rsid w:val="00252DAA"/>
    <w:rsid w:val="002565D5"/>
    <w:rsid w:val="002622C0"/>
    <w:rsid w:val="002778AE"/>
    <w:rsid w:val="0028269A"/>
    <w:rsid w:val="00283590"/>
    <w:rsid w:val="00286973"/>
    <w:rsid w:val="00287674"/>
    <w:rsid w:val="002938A4"/>
    <w:rsid w:val="00294E70"/>
    <w:rsid w:val="002954B8"/>
    <w:rsid w:val="002967B2"/>
    <w:rsid w:val="002A1924"/>
    <w:rsid w:val="002A7420"/>
    <w:rsid w:val="002A7A7E"/>
    <w:rsid w:val="002B0F12"/>
    <w:rsid w:val="002B1308"/>
    <w:rsid w:val="002B4554"/>
    <w:rsid w:val="002B707C"/>
    <w:rsid w:val="002C72D8"/>
    <w:rsid w:val="002D11FA"/>
    <w:rsid w:val="002D1807"/>
    <w:rsid w:val="002D19A4"/>
    <w:rsid w:val="002D6352"/>
    <w:rsid w:val="002E0DDF"/>
    <w:rsid w:val="002E2906"/>
    <w:rsid w:val="002E5635"/>
    <w:rsid w:val="002E64C3"/>
    <w:rsid w:val="002E6A2C"/>
    <w:rsid w:val="002F035E"/>
    <w:rsid w:val="002F0FE8"/>
    <w:rsid w:val="002F1D8C"/>
    <w:rsid w:val="002F21DA"/>
    <w:rsid w:val="002F34B8"/>
    <w:rsid w:val="0030164C"/>
    <w:rsid w:val="00301F39"/>
    <w:rsid w:val="00303D27"/>
    <w:rsid w:val="00305BEE"/>
    <w:rsid w:val="00313962"/>
    <w:rsid w:val="003234E0"/>
    <w:rsid w:val="00325926"/>
    <w:rsid w:val="00327A8A"/>
    <w:rsid w:val="003339A3"/>
    <w:rsid w:val="00336610"/>
    <w:rsid w:val="00341F5C"/>
    <w:rsid w:val="00343D23"/>
    <w:rsid w:val="00343F73"/>
    <w:rsid w:val="00345060"/>
    <w:rsid w:val="003451FB"/>
    <w:rsid w:val="00352629"/>
    <w:rsid w:val="0035323B"/>
    <w:rsid w:val="00353D19"/>
    <w:rsid w:val="0035785A"/>
    <w:rsid w:val="003609D2"/>
    <w:rsid w:val="00363F22"/>
    <w:rsid w:val="00364940"/>
    <w:rsid w:val="00375564"/>
    <w:rsid w:val="00376489"/>
    <w:rsid w:val="00383191"/>
    <w:rsid w:val="00386DED"/>
    <w:rsid w:val="003912E7"/>
    <w:rsid w:val="00393947"/>
    <w:rsid w:val="00395141"/>
    <w:rsid w:val="003A2275"/>
    <w:rsid w:val="003A6A4F"/>
    <w:rsid w:val="003A7088"/>
    <w:rsid w:val="003B00DF"/>
    <w:rsid w:val="003B1275"/>
    <w:rsid w:val="003B1778"/>
    <w:rsid w:val="003C11CB"/>
    <w:rsid w:val="003C3017"/>
    <w:rsid w:val="003C6A77"/>
    <w:rsid w:val="003C75F3"/>
    <w:rsid w:val="003C78A3"/>
    <w:rsid w:val="003D36AB"/>
    <w:rsid w:val="003E1867"/>
    <w:rsid w:val="003E5729"/>
    <w:rsid w:val="003E724E"/>
    <w:rsid w:val="003F1D40"/>
    <w:rsid w:val="003F22BB"/>
    <w:rsid w:val="003F2A5B"/>
    <w:rsid w:val="003F4EE0"/>
    <w:rsid w:val="003F5559"/>
    <w:rsid w:val="00400473"/>
    <w:rsid w:val="00402153"/>
    <w:rsid w:val="00402E26"/>
    <w:rsid w:val="00402FC1"/>
    <w:rsid w:val="004200D9"/>
    <w:rsid w:val="00425082"/>
    <w:rsid w:val="00431DEB"/>
    <w:rsid w:val="0044259D"/>
    <w:rsid w:val="004439D9"/>
    <w:rsid w:val="00446B29"/>
    <w:rsid w:val="004524BE"/>
    <w:rsid w:val="00453F9A"/>
    <w:rsid w:val="00454CC3"/>
    <w:rsid w:val="00464903"/>
    <w:rsid w:val="00471E91"/>
    <w:rsid w:val="00474079"/>
    <w:rsid w:val="00474675"/>
    <w:rsid w:val="0047470C"/>
    <w:rsid w:val="00476A92"/>
    <w:rsid w:val="00484C88"/>
    <w:rsid w:val="004923E4"/>
    <w:rsid w:val="004A203E"/>
    <w:rsid w:val="004A35F9"/>
    <w:rsid w:val="004A4662"/>
    <w:rsid w:val="004A59DD"/>
    <w:rsid w:val="004A7E02"/>
    <w:rsid w:val="004B157A"/>
    <w:rsid w:val="004B24C1"/>
    <w:rsid w:val="004B3092"/>
    <w:rsid w:val="004B49B1"/>
    <w:rsid w:val="004B557C"/>
    <w:rsid w:val="004C2895"/>
    <w:rsid w:val="004C292F"/>
    <w:rsid w:val="004C657F"/>
    <w:rsid w:val="004D306F"/>
    <w:rsid w:val="004D4B02"/>
    <w:rsid w:val="004E4B13"/>
    <w:rsid w:val="004E4B8C"/>
    <w:rsid w:val="004E5A47"/>
    <w:rsid w:val="005036E2"/>
    <w:rsid w:val="00510280"/>
    <w:rsid w:val="00513D73"/>
    <w:rsid w:val="005148B3"/>
    <w:rsid w:val="00514A43"/>
    <w:rsid w:val="00515E9C"/>
    <w:rsid w:val="005174E5"/>
    <w:rsid w:val="00520898"/>
    <w:rsid w:val="00522393"/>
    <w:rsid w:val="00522620"/>
    <w:rsid w:val="00525656"/>
    <w:rsid w:val="00525BF3"/>
    <w:rsid w:val="00534C02"/>
    <w:rsid w:val="0054044C"/>
    <w:rsid w:val="0054264B"/>
    <w:rsid w:val="00543786"/>
    <w:rsid w:val="00545A49"/>
    <w:rsid w:val="005463CC"/>
    <w:rsid w:val="00546D0D"/>
    <w:rsid w:val="0055153A"/>
    <w:rsid w:val="005533D7"/>
    <w:rsid w:val="00554B63"/>
    <w:rsid w:val="00562CF6"/>
    <w:rsid w:val="0056544B"/>
    <w:rsid w:val="00567177"/>
    <w:rsid w:val="005703DE"/>
    <w:rsid w:val="005710BC"/>
    <w:rsid w:val="005755F1"/>
    <w:rsid w:val="00582BBE"/>
    <w:rsid w:val="0058464E"/>
    <w:rsid w:val="0058650E"/>
    <w:rsid w:val="005A01CB"/>
    <w:rsid w:val="005A19A9"/>
    <w:rsid w:val="005A58FF"/>
    <w:rsid w:val="005A5EAF"/>
    <w:rsid w:val="005A6491"/>
    <w:rsid w:val="005A64C0"/>
    <w:rsid w:val="005B1985"/>
    <w:rsid w:val="005B3C11"/>
    <w:rsid w:val="005C1C28"/>
    <w:rsid w:val="005C43D0"/>
    <w:rsid w:val="005C6DB5"/>
    <w:rsid w:val="005D3842"/>
    <w:rsid w:val="005E19E7"/>
    <w:rsid w:val="005E2392"/>
    <w:rsid w:val="00601622"/>
    <w:rsid w:val="0061037E"/>
    <w:rsid w:val="00613FAA"/>
    <w:rsid w:val="00616C36"/>
    <w:rsid w:val="0061716C"/>
    <w:rsid w:val="006171AF"/>
    <w:rsid w:val="00617868"/>
    <w:rsid w:val="006243A1"/>
    <w:rsid w:val="00626005"/>
    <w:rsid w:val="006313E9"/>
    <w:rsid w:val="00632E56"/>
    <w:rsid w:val="00635CBA"/>
    <w:rsid w:val="00636EFC"/>
    <w:rsid w:val="0064338B"/>
    <w:rsid w:val="00646542"/>
    <w:rsid w:val="006504F4"/>
    <w:rsid w:val="0065366F"/>
    <w:rsid w:val="00654BC9"/>
    <w:rsid w:val="006552FD"/>
    <w:rsid w:val="00656F0B"/>
    <w:rsid w:val="00663733"/>
    <w:rsid w:val="00663AF3"/>
    <w:rsid w:val="00666B6C"/>
    <w:rsid w:val="00677B54"/>
    <w:rsid w:val="00682682"/>
    <w:rsid w:val="00682702"/>
    <w:rsid w:val="00692368"/>
    <w:rsid w:val="00695192"/>
    <w:rsid w:val="006A2EBC"/>
    <w:rsid w:val="006A5EA0"/>
    <w:rsid w:val="006A783B"/>
    <w:rsid w:val="006A7B33"/>
    <w:rsid w:val="006B4E13"/>
    <w:rsid w:val="006B75DD"/>
    <w:rsid w:val="006C047C"/>
    <w:rsid w:val="006C3D8B"/>
    <w:rsid w:val="006C67E0"/>
    <w:rsid w:val="006C7ABA"/>
    <w:rsid w:val="006D0A13"/>
    <w:rsid w:val="006D0D60"/>
    <w:rsid w:val="006D1122"/>
    <w:rsid w:val="006D317E"/>
    <w:rsid w:val="006D3B1E"/>
    <w:rsid w:val="006D3C00"/>
    <w:rsid w:val="006E06AD"/>
    <w:rsid w:val="006E3675"/>
    <w:rsid w:val="006E4A7F"/>
    <w:rsid w:val="006F0967"/>
    <w:rsid w:val="006F2274"/>
    <w:rsid w:val="006F64A0"/>
    <w:rsid w:val="0070038F"/>
    <w:rsid w:val="007027B1"/>
    <w:rsid w:val="0070286C"/>
    <w:rsid w:val="00704DF6"/>
    <w:rsid w:val="0070651C"/>
    <w:rsid w:val="007132A3"/>
    <w:rsid w:val="00716421"/>
    <w:rsid w:val="00721419"/>
    <w:rsid w:val="00724EFB"/>
    <w:rsid w:val="00726575"/>
    <w:rsid w:val="00730310"/>
    <w:rsid w:val="00740A49"/>
    <w:rsid w:val="007419C3"/>
    <w:rsid w:val="00746559"/>
    <w:rsid w:val="007467A7"/>
    <w:rsid w:val="007469DD"/>
    <w:rsid w:val="0074741B"/>
    <w:rsid w:val="0074759E"/>
    <w:rsid w:val="007478EA"/>
    <w:rsid w:val="0075415C"/>
    <w:rsid w:val="00757097"/>
    <w:rsid w:val="00761E8B"/>
    <w:rsid w:val="00763502"/>
    <w:rsid w:val="007913AB"/>
    <w:rsid w:val="007914F7"/>
    <w:rsid w:val="00795C73"/>
    <w:rsid w:val="007A4809"/>
    <w:rsid w:val="007B1625"/>
    <w:rsid w:val="007B706E"/>
    <w:rsid w:val="007B71EB"/>
    <w:rsid w:val="007C0748"/>
    <w:rsid w:val="007C6205"/>
    <w:rsid w:val="007C686A"/>
    <w:rsid w:val="007C728E"/>
    <w:rsid w:val="007D0BE0"/>
    <w:rsid w:val="007D204F"/>
    <w:rsid w:val="007D2C53"/>
    <w:rsid w:val="007D3D60"/>
    <w:rsid w:val="007E1980"/>
    <w:rsid w:val="007E4B76"/>
    <w:rsid w:val="007E5043"/>
    <w:rsid w:val="007E5EA8"/>
    <w:rsid w:val="007F0CF1"/>
    <w:rsid w:val="007F12A5"/>
    <w:rsid w:val="007F2D74"/>
    <w:rsid w:val="007F3FB7"/>
    <w:rsid w:val="007F4CF1"/>
    <w:rsid w:val="007F758D"/>
    <w:rsid w:val="007F7D52"/>
    <w:rsid w:val="0080484A"/>
    <w:rsid w:val="00805589"/>
    <w:rsid w:val="008057A5"/>
    <w:rsid w:val="00805E2F"/>
    <w:rsid w:val="0080654C"/>
    <w:rsid w:val="008071C6"/>
    <w:rsid w:val="00817A00"/>
    <w:rsid w:val="00820B95"/>
    <w:rsid w:val="00825891"/>
    <w:rsid w:val="00831631"/>
    <w:rsid w:val="0083228D"/>
    <w:rsid w:val="00833D07"/>
    <w:rsid w:val="00835DB3"/>
    <w:rsid w:val="0083617B"/>
    <w:rsid w:val="00836342"/>
    <w:rsid w:val="00836A2D"/>
    <w:rsid w:val="008371BD"/>
    <w:rsid w:val="00840EBF"/>
    <w:rsid w:val="008504A8"/>
    <w:rsid w:val="00851B58"/>
    <w:rsid w:val="0085282E"/>
    <w:rsid w:val="00864937"/>
    <w:rsid w:val="0087198C"/>
    <w:rsid w:val="00872C1F"/>
    <w:rsid w:val="00873B42"/>
    <w:rsid w:val="00877CB0"/>
    <w:rsid w:val="008805AC"/>
    <w:rsid w:val="00880D1A"/>
    <w:rsid w:val="00884468"/>
    <w:rsid w:val="008856D8"/>
    <w:rsid w:val="00892E82"/>
    <w:rsid w:val="00893277"/>
    <w:rsid w:val="008946F6"/>
    <w:rsid w:val="00895FA9"/>
    <w:rsid w:val="008A1035"/>
    <w:rsid w:val="008A6E08"/>
    <w:rsid w:val="008C0BE9"/>
    <w:rsid w:val="008C1B58"/>
    <w:rsid w:val="008C39AE"/>
    <w:rsid w:val="008C40DF"/>
    <w:rsid w:val="008C590D"/>
    <w:rsid w:val="008D447E"/>
    <w:rsid w:val="008D7566"/>
    <w:rsid w:val="008E0184"/>
    <w:rsid w:val="008E031B"/>
    <w:rsid w:val="008E0560"/>
    <w:rsid w:val="008E2D8C"/>
    <w:rsid w:val="008E7029"/>
    <w:rsid w:val="008E7EF6"/>
    <w:rsid w:val="008F1F98"/>
    <w:rsid w:val="008F2340"/>
    <w:rsid w:val="008F2790"/>
    <w:rsid w:val="008F6758"/>
    <w:rsid w:val="009040DD"/>
    <w:rsid w:val="00905B47"/>
    <w:rsid w:val="0090690F"/>
    <w:rsid w:val="00911391"/>
    <w:rsid w:val="0091331C"/>
    <w:rsid w:val="009137BD"/>
    <w:rsid w:val="0091503D"/>
    <w:rsid w:val="009279DE"/>
    <w:rsid w:val="00927AB9"/>
    <w:rsid w:val="00927B37"/>
    <w:rsid w:val="00930116"/>
    <w:rsid w:val="00930625"/>
    <w:rsid w:val="00941082"/>
    <w:rsid w:val="0094212C"/>
    <w:rsid w:val="00944853"/>
    <w:rsid w:val="0094609D"/>
    <w:rsid w:val="0095378C"/>
    <w:rsid w:val="00954689"/>
    <w:rsid w:val="0095472A"/>
    <w:rsid w:val="0096085A"/>
    <w:rsid w:val="009617C9"/>
    <w:rsid w:val="00961C93"/>
    <w:rsid w:val="00962B4E"/>
    <w:rsid w:val="00965324"/>
    <w:rsid w:val="0097091E"/>
    <w:rsid w:val="009760D3"/>
    <w:rsid w:val="00976467"/>
    <w:rsid w:val="00977132"/>
    <w:rsid w:val="00981A4B"/>
    <w:rsid w:val="00982250"/>
    <w:rsid w:val="00982501"/>
    <w:rsid w:val="00983D33"/>
    <w:rsid w:val="009877D3"/>
    <w:rsid w:val="00994E8F"/>
    <w:rsid w:val="009951DC"/>
    <w:rsid w:val="009959BB"/>
    <w:rsid w:val="00997158"/>
    <w:rsid w:val="009A0827"/>
    <w:rsid w:val="009A3A7C"/>
    <w:rsid w:val="009A5D33"/>
    <w:rsid w:val="009A7D84"/>
    <w:rsid w:val="009B2323"/>
    <w:rsid w:val="009B2ADB"/>
    <w:rsid w:val="009B603A"/>
    <w:rsid w:val="009C2D0E"/>
    <w:rsid w:val="009C3DAC"/>
    <w:rsid w:val="009C42E0"/>
    <w:rsid w:val="009D3230"/>
    <w:rsid w:val="009D5362"/>
    <w:rsid w:val="009E1415"/>
    <w:rsid w:val="009E6116"/>
    <w:rsid w:val="009E7E25"/>
    <w:rsid w:val="00A02E43"/>
    <w:rsid w:val="00A05368"/>
    <w:rsid w:val="00A065F9"/>
    <w:rsid w:val="00A07011"/>
    <w:rsid w:val="00A07F34"/>
    <w:rsid w:val="00A22154"/>
    <w:rsid w:val="00A226CA"/>
    <w:rsid w:val="00A24058"/>
    <w:rsid w:val="00A25C38"/>
    <w:rsid w:val="00A35824"/>
    <w:rsid w:val="00A36BBE"/>
    <w:rsid w:val="00A37C20"/>
    <w:rsid w:val="00A40D9E"/>
    <w:rsid w:val="00A41DF7"/>
    <w:rsid w:val="00A420B1"/>
    <w:rsid w:val="00A42ECA"/>
    <w:rsid w:val="00A4307A"/>
    <w:rsid w:val="00A46DEF"/>
    <w:rsid w:val="00A47EBB"/>
    <w:rsid w:val="00A51CDD"/>
    <w:rsid w:val="00A563F8"/>
    <w:rsid w:val="00A56BBA"/>
    <w:rsid w:val="00A6730D"/>
    <w:rsid w:val="00A71625"/>
    <w:rsid w:val="00A71B9B"/>
    <w:rsid w:val="00A751C7"/>
    <w:rsid w:val="00A80008"/>
    <w:rsid w:val="00A84CE5"/>
    <w:rsid w:val="00A87844"/>
    <w:rsid w:val="00A9227B"/>
    <w:rsid w:val="00A97A55"/>
    <w:rsid w:val="00AA038C"/>
    <w:rsid w:val="00AA7A09"/>
    <w:rsid w:val="00AB3B50"/>
    <w:rsid w:val="00AC05B1"/>
    <w:rsid w:val="00AC450C"/>
    <w:rsid w:val="00AD340B"/>
    <w:rsid w:val="00AD356C"/>
    <w:rsid w:val="00AE2914"/>
    <w:rsid w:val="00AE6D15"/>
    <w:rsid w:val="00AE7023"/>
    <w:rsid w:val="00AE78AA"/>
    <w:rsid w:val="00AF0EF3"/>
    <w:rsid w:val="00AF1F49"/>
    <w:rsid w:val="00AF2D81"/>
    <w:rsid w:val="00B04182"/>
    <w:rsid w:val="00B05ECF"/>
    <w:rsid w:val="00B07AE3"/>
    <w:rsid w:val="00B11430"/>
    <w:rsid w:val="00B12A5D"/>
    <w:rsid w:val="00B242F4"/>
    <w:rsid w:val="00B2477A"/>
    <w:rsid w:val="00B24D1C"/>
    <w:rsid w:val="00B30072"/>
    <w:rsid w:val="00B30481"/>
    <w:rsid w:val="00B3312F"/>
    <w:rsid w:val="00B353EB"/>
    <w:rsid w:val="00B4016F"/>
    <w:rsid w:val="00B407AC"/>
    <w:rsid w:val="00B439C4"/>
    <w:rsid w:val="00B4535E"/>
    <w:rsid w:val="00B52A8C"/>
    <w:rsid w:val="00B54707"/>
    <w:rsid w:val="00B56155"/>
    <w:rsid w:val="00B6051A"/>
    <w:rsid w:val="00B62F11"/>
    <w:rsid w:val="00B63042"/>
    <w:rsid w:val="00B636A8"/>
    <w:rsid w:val="00B64FDC"/>
    <w:rsid w:val="00B665C6"/>
    <w:rsid w:val="00B72AD8"/>
    <w:rsid w:val="00B74441"/>
    <w:rsid w:val="00B758A5"/>
    <w:rsid w:val="00B805AF"/>
    <w:rsid w:val="00B82BD5"/>
    <w:rsid w:val="00B869EC"/>
    <w:rsid w:val="00B9397A"/>
    <w:rsid w:val="00B9633D"/>
    <w:rsid w:val="00B967D5"/>
    <w:rsid w:val="00BA2EBE"/>
    <w:rsid w:val="00BB0F28"/>
    <w:rsid w:val="00BB458A"/>
    <w:rsid w:val="00BB693F"/>
    <w:rsid w:val="00BC5953"/>
    <w:rsid w:val="00BD00D3"/>
    <w:rsid w:val="00BD1659"/>
    <w:rsid w:val="00BD3AA9"/>
    <w:rsid w:val="00BD4A18"/>
    <w:rsid w:val="00BD6DB2"/>
    <w:rsid w:val="00BD73A1"/>
    <w:rsid w:val="00BE11CF"/>
    <w:rsid w:val="00BE21AB"/>
    <w:rsid w:val="00BE55CB"/>
    <w:rsid w:val="00BE7067"/>
    <w:rsid w:val="00BF3BB2"/>
    <w:rsid w:val="00BF617A"/>
    <w:rsid w:val="00C0379D"/>
    <w:rsid w:val="00C03931"/>
    <w:rsid w:val="00C05FE3"/>
    <w:rsid w:val="00C11DA9"/>
    <w:rsid w:val="00C15DA2"/>
    <w:rsid w:val="00C2136D"/>
    <w:rsid w:val="00C214EE"/>
    <w:rsid w:val="00C2314B"/>
    <w:rsid w:val="00C244A0"/>
    <w:rsid w:val="00C24971"/>
    <w:rsid w:val="00C25355"/>
    <w:rsid w:val="00C26BE5"/>
    <w:rsid w:val="00C26E4D"/>
    <w:rsid w:val="00C27909"/>
    <w:rsid w:val="00C27B03"/>
    <w:rsid w:val="00C314E1"/>
    <w:rsid w:val="00C34397"/>
    <w:rsid w:val="00C40503"/>
    <w:rsid w:val="00C4095D"/>
    <w:rsid w:val="00C57A9C"/>
    <w:rsid w:val="00C601D2"/>
    <w:rsid w:val="00C65BCC"/>
    <w:rsid w:val="00C66970"/>
    <w:rsid w:val="00C71F4D"/>
    <w:rsid w:val="00C8691C"/>
    <w:rsid w:val="00C86CB4"/>
    <w:rsid w:val="00C96295"/>
    <w:rsid w:val="00C96364"/>
    <w:rsid w:val="00CA03DF"/>
    <w:rsid w:val="00CA168A"/>
    <w:rsid w:val="00CA2097"/>
    <w:rsid w:val="00CA357E"/>
    <w:rsid w:val="00CA44F9"/>
    <w:rsid w:val="00CA4A69"/>
    <w:rsid w:val="00CB722E"/>
    <w:rsid w:val="00CC3E0C"/>
    <w:rsid w:val="00CC58D3"/>
    <w:rsid w:val="00CC784D"/>
    <w:rsid w:val="00CF1E15"/>
    <w:rsid w:val="00D00A8D"/>
    <w:rsid w:val="00D01A63"/>
    <w:rsid w:val="00D03268"/>
    <w:rsid w:val="00D0337B"/>
    <w:rsid w:val="00D07777"/>
    <w:rsid w:val="00D079B2"/>
    <w:rsid w:val="00D114E9"/>
    <w:rsid w:val="00D17CD8"/>
    <w:rsid w:val="00D2527C"/>
    <w:rsid w:val="00D313B3"/>
    <w:rsid w:val="00D35B8E"/>
    <w:rsid w:val="00D40F07"/>
    <w:rsid w:val="00D429C6"/>
    <w:rsid w:val="00D47748"/>
    <w:rsid w:val="00D5178F"/>
    <w:rsid w:val="00D518DF"/>
    <w:rsid w:val="00D54CC3"/>
    <w:rsid w:val="00D6041A"/>
    <w:rsid w:val="00D61258"/>
    <w:rsid w:val="00D633EB"/>
    <w:rsid w:val="00D736AC"/>
    <w:rsid w:val="00D747AA"/>
    <w:rsid w:val="00D75A7E"/>
    <w:rsid w:val="00D82FF7"/>
    <w:rsid w:val="00D847FE"/>
    <w:rsid w:val="00D86B9C"/>
    <w:rsid w:val="00D900CD"/>
    <w:rsid w:val="00D90A39"/>
    <w:rsid w:val="00D964EA"/>
    <w:rsid w:val="00D966D0"/>
    <w:rsid w:val="00DA0C59"/>
    <w:rsid w:val="00DA3991"/>
    <w:rsid w:val="00DA72A1"/>
    <w:rsid w:val="00DA7F95"/>
    <w:rsid w:val="00DB01F1"/>
    <w:rsid w:val="00DB3222"/>
    <w:rsid w:val="00DB7E6C"/>
    <w:rsid w:val="00DC4F68"/>
    <w:rsid w:val="00DC64B0"/>
    <w:rsid w:val="00DD252A"/>
    <w:rsid w:val="00DD5949"/>
    <w:rsid w:val="00DD5A29"/>
    <w:rsid w:val="00DD5D9D"/>
    <w:rsid w:val="00DE35CB"/>
    <w:rsid w:val="00DF0EF0"/>
    <w:rsid w:val="00DF21E9"/>
    <w:rsid w:val="00DF22C7"/>
    <w:rsid w:val="00DF5CC9"/>
    <w:rsid w:val="00E00F14"/>
    <w:rsid w:val="00E01CB8"/>
    <w:rsid w:val="00E06386"/>
    <w:rsid w:val="00E075C5"/>
    <w:rsid w:val="00E1051A"/>
    <w:rsid w:val="00E11668"/>
    <w:rsid w:val="00E118E7"/>
    <w:rsid w:val="00E122B7"/>
    <w:rsid w:val="00E21B55"/>
    <w:rsid w:val="00E221D3"/>
    <w:rsid w:val="00E24EB4"/>
    <w:rsid w:val="00E30635"/>
    <w:rsid w:val="00E320ED"/>
    <w:rsid w:val="00E33AFB"/>
    <w:rsid w:val="00E34218"/>
    <w:rsid w:val="00E4555B"/>
    <w:rsid w:val="00E46282"/>
    <w:rsid w:val="00E5216E"/>
    <w:rsid w:val="00E5529C"/>
    <w:rsid w:val="00E657C6"/>
    <w:rsid w:val="00E75D40"/>
    <w:rsid w:val="00E81965"/>
    <w:rsid w:val="00E82344"/>
    <w:rsid w:val="00E84C82"/>
    <w:rsid w:val="00E84D64"/>
    <w:rsid w:val="00E87408"/>
    <w:rsid w:val="00E914C4"/>
    <w:rsid w:val="00E934F5"/>
    <w:rsid w:val="00E96961"/>
    <w:rsid w:val="00EA72EC"/>
    <w:rsid w:val="00EB11CB"/>
    <w:rsid w:val="00EB1C71"/>
    <w:rsid w:val="00EB275A"/>
    <w:rsid w:val="00EB57CA"/>
    <w:rsid w:val="00EB786A"/>
    <w:rsid w:val="00EC1578"/>
    <w:rsid w:val="00EC1BFC"/>
    <w:rsid w:val="00EC1C72"/>
    <w:rsid w:val="00EC3356"/>
    <w:rsid w:val="00EC3CC9"/>
    <w:rsid w:val="00EC5D85"/>
    <w:rsid w:val="00EC680A"/>
    <w:rsid w:val="00ED511C"/>
    <w:rsid w:val="00ED7229"/>
    <w:rsid w:val="00EE25CB"/>
    <w:rsid w:val="00EE2BED"/>
    <w:rsid w:val="00EE374B"/>
    <w:rsid w:val="00EE4A87"/>
    <w:rsid w:val="00EE4D1E"/>
    <w:rsid w:val="00EF2869"/>
    <w:rsid w:val="00F05D60"/>
    <w:rsid w:val="00F07224"/>
    <w:rsid w:val="00F07FD3"/>
    <w:rsid w:val="00F11BB5"/>
    <w:rsid w:val="00F1296C"/>
    <w:rsid w:val="00F1417B"/>
    <w:rsid w:val="00F1712D"/>
    <w:rsid w:val="00F17A17"/>
    <w:rsid w:val="00F208A0"/>
    <w:rsid w:val="00F2115E"/>
    <w:rsid w:val="00F2397E"/>
    <w:rsid w:val="00F27B3D"/>
    <w:rsid w:val="00F30ABD"/>
    <w:rsid w:val="00F34B99"/>
    <w:rsid w:val="00F40B02"/>
    <w:rsid w:val="00F41E81"/>
    <w:rsid w:val="00F51720"/>
    <w:rsid w:val="00F51CF2"/>
    <w:rsid w:val="00F52DAB"/>
    <w:rsid w:val="00F543F0"/>
    <w:rsid w:val="00F55E3E"/>
    <w:rsid w:val="00F57601"/>
    <w:rsid w:val="00F73F99"/>
    <w:rsid w:val="00F75F80"/>
    <w:rsid w:val="00F77A12"/>
    <w:rsid w:val="00F81D29"/>
    <w:rsid w:val="00F90BE5"/>
    <w:rsid w:val="00F91C4D"/>
    <w:rsid w:val="00F92FD9"/>
    <w:rsid w:val="00FA33FE"/>
    <w:rsid w:val="00FA37B1"/>
    <w:rsid w:val="00FA3E0B"/>
    <w:rsid w:val="00FA5EF7"/>
    <w:rsid w:val="00FA6684"/>
    <w:rsid w:val="00FA731E"/>
    <w:rsid w:val="00FA7BD0"/>
    <w:rsid w:val="00FB1DCF"/>
    <w:rsid w:val="00FB2B38"/>
    <w:rsid w:val="00FB61CE"/>
    <w:rsid w:val="00FB7A07"/>
    <w:rsid w:val="00FC04CC"/>
    <w:rsid w:val="00FC2066"/>
    <w:rsid w:val="00FC6358"/>
    <w:rsid w:val="00FD1381"/>
    <w:rsid w:val="00FD320D"/>
    <w:rsid w:val="00FE1B98"/>
    <w:rsid w:val="00FE23DE"/>
    <w:rsid w:val="00FF1801"/>
    <w:rsid w:val="00FF68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8F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2">
    <w:name w:val="Normal"/>
    <w:qFormat/>
    <w:rsid w:val="003234E0"/>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qFormat/>
    <w:rsid w:val="00035925"/>
    <w:rPr>
      <w:rFonts w:ascii="宋体"/>
      <w:noProof/>
      <w:sz w:val="21"/>
      <w:lang w:val="en-US" w:eastAsia="zh-CN" w:bidi="ar-SA"/>
    </w:rPr>
  </w:style>
  <w:style w:type="paragraph" w:customStyle="1" w:styleId="a2">
    <w:name w:val="一级条标题"/>
    <w:next w:val="aff6"/>
    <w:rsid w:val="001C149C"/>
    <w:pPr>
      <w:numPr>
        <w:ilvl w:val="1"/>
        <w:numId w:val="9"/>
      </w:numPr>
      <w:spacing w:beforeLines="50" w:afterLines="50"/>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1">
    <w:name w:val="章标题"/>
    <w:next w:val="aff6"/>
    <w:rsid w:val="001C149C"/>
    <w:pPr>
      <w:numPr>
        <w:numId w:val="9"/>
      </w:numPr>
      <w:spacing w:beforeLines="100" w:afterLines="100"/>
      <w:jc w:val="both"/>
      <w:outlineLvl w:val="1"/>
    </w:pPr>
    <w:rPr>
      <w:rFonts w:ascii="黑体" w:eastAsia="黑体"/>
      <w:sz w:val="21"/>
    </w:rPr>
  </w:style>
  <w:style w:type="paragraph" w:customStyle="1" w:styleId="a3">
    <w:name w:val="二级条标题"/>
    <w:basedOn w:val="a2"/>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b">
    <w:name w:val="列项——（一级）"/>
    <w:rsid w:val="00BE55CB"/>
    <w:pPr>
      <w:widowControl w:val="0"/>
      <w:numPr>
        <w:numId w:val="1"/>
      </w:numPr>
      <w:jc w:val="both"/>
    </w:pPr>
    <w:rPr>
      <w:rFonts w:ascii="宋体"/>
      <w:sz w:val="21"/>
    </w:rPr>
  </w:style>
  <w:style w:type="paragraph" w:customStyle="1" w:styleId="ac">
    <w:name w:val="列项●（二级）"/>
    <w:rsid w:val="00BE55CB"/>
    <w:pPr>
      <w:numPr>
        <w:ilvl w:val="1"/>
        <w:numId w:val="1"/>
      </w:numPr>
      <w:tabs>
        <w:tab w:val="left" w:pos="840"/>
      </w:tabs>
      <w:jc w:val="both"/>
    </w:pPr>
    <w:rPr>
      <w:rFonts w:ascii="宋体"/>
      <w:sz w:val="21"/>
    </w:rPr>
  </w:style>
  <w:style w:type="paragraph" w:customStyle="1" w:styleId="aff9">
    <w:name w:val="目次、标准名称标题"/>
    <w:basedOn w:val="aff2"/>
    <w:next w:val="aff6"/>
    <w:link w:val="Char0"/>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4">
    <w:name w:val="三级条标题"/>
    <w:basedOn w:val="a3"/>
    <w:next w:val="aff6"/>
    <w:rsid w:val="001C149C"/>
    <w:pPr>
      <w:numPr>
        <w:ilvl w:val="3"/>
      </w:numPr>
      <w:outlineLvl w:val="4"/>
    </w:pPr>
  </w:style>
  <w:style w:type="paragraph" w:customStyle="1" w:styleId="af6">
    <w:name w:val="示例"/>
    <w:next w:val="affa"/>
    <w:rsid w:val="005A5EAF"/>
    <w:pPr>
      <w:widowControl w:val="0"/>
      <w:numPr>
        <w:numId w:val="12"/>
      </w:numPr>
      <w:jc w:val="both"/>
    </w:pPr>
    <w:rPr>
      <w:rFonts w:ascii="宋体"/>
      <w:sz w:val="18"/>
      <w:szCs w:val="18"/>
    </w:rPr>
  </w:style>
  <w:style w:type="paragraph" w:customStyle="1" w:styleId="af0">
    <w:name w:val="数字编号列项（二级）"/>
    <w:rsid w:val="003E5729"/>
    <w:pPr>
      <w:numPr>
        <w:ilvl w:val="1"/>
        <w:numId w:val="8"/>
      </w:numPr>
      <w:jc w:val="both"/>
    </w:pPr>
    <w:rPr>
      <w:rFonts w:ascii="宋体"/>
      <w:sz w:val="21"/>
    </w:rPr>
  </w:style>
  <w:style w:type="paragraph" w:customStyle="1" w:styleId="a5">
    <w:name w:val="四级条标题"/>
    <w:basedOn w:val="a4"/>
    <w:next w:val="aff6"/>
    <w:rsid w:val="001C149C"/>
    <w:pPr>
      <w:numPr>
        <w:ilvl w:val="4"/>
      </w:numPr>
      <w:outlineLvl w:val="5"/>
    </w:pPr>
  </w:style>
  <w:style w:type="paragraph" w:customStyle="1" w:styleId="a6">
    <w:name w:val="五级条标题"/>
    <w:basedOn w:val="a5"/>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rsid w:val="00930116"/>
    <w:pPr>
      <w:snapToGrid w:val="0"/>
      <w:jc w:val="left"/>
    </w:pPr>
    <w:rPr>
      <w:sz w:val="18"/>
      <w:szCs w:val="18"/>
    </w:rPr>
  </w:style>
  <w:style w:type="paragraph" w:customStyle="1" w:styleId="a0">
    <w:name w:val="注："/>
    <w:next w:val="aff6"/>
    <w:rsid w:val="004200D9"/>
    <w:pPr>
      <w:widowControl w:val="0"/>
      <w:numPr>
        <w:numId w:val="29"/>
      </w:numPr>
      <w:autoSpaceDE w:val="0"/>
      <w:autoSpaceDN w:val="0"/>
      <w:ind w:left="726" w:hanging="363"/>
      <w:jc w:val="both"/>
    </w:pPr>
    <w:rPr>
      <w:rFonts w:ascii="宋体"/>
      <w:sz w:val="18"/>
      <w:szCs w:val="18"/>
    </w:rPr>
  </w:style>
  <w:style w:type="paragraph" w:customStyle="1" w:styleId="af3">
    <w:name w:val="注×："/>
    <w:rsid w:val="0090690F"/>
    <w:pPr>
      <w:widowControl w:val="0"/>
      <w:numPr>
        <w:numId w:val="25"/>
      </w:numPr>
      <w:autoSpaceDE w:val="0"/>
      <w:autoSpaceDN w:val="0"/>
      <w:ind w:left="811" w:hanging="448"/>
      <w:jc w:val="both"/>
    </w:pPr>
    <w:rPr>
      <w:rFonts w:ascii="宋体"/>
      <w:sz w:val="18"/>
      <w:szCs w:val="18"/>
    </w:rPr>
  </w:style>
  <w:style w:type="paragraph" w:customStyle="1" w:styleId="af">
    <w:name w:val="字母编号列项（一级）"/>
    <w:rsid w:val="003E5729"/>
    <w:pPr>
      <w:numPr>
        <w:numId w:val="8"/>
      </w:numPr>
      <w:jc w:val="both"/>
    </w:pPr>
    <w:rPr>
      <w:rFonts w:ascii="宋体"/>
      <w:sz w:val="21"/>
    </w:rPr>
  </w:style>
  <w:style w:type="paragraph" w:customStyle="1" w:styleId="ad">
    <w:name w:val="列项◆（三级）"/>
    <w:basedOn w:val="aff2"/>
    <w:rsid w:val="00BE55CB"/>
    <w:pPr>
      <w:numPr>
        <w:ilvl w:val="2"/>
        <w:numId w:val="1"/>
      </w:numPr>
    </w:pPr>
    <w:rPr>
      <w:rFonts w:ascii="宋体"/>
      <w:szCs w:val="21"/>
    </w:rPr>
  </w:style>
  <w:style w:type="paragraph" w:customStyle="1" w:styleId="af1">
    <w:name w:val="编号列项（三级）"/>
    <w:rsid w:val="003E5729"/>
    <w:pPr>
      <w:numPr>
        <w:ilvl w:val="2"/>
        <w:numId w:val="8"/>
      </w:numPr>
    </w:pPr>
    <w:rPr>
      <w:rFonts w:ascii="宋体"/>
      <w:sz w:val="21"/>
    </w:rPr>
  </w:style>
  <w:style w:type="paragraph" w:customStyle="1" w:styleId="aff">
    <w:name w:val="示例×："/>
    <w:basedOn w:val="a1"/>
    <w:qFormat/>
    <w:rsid w:val="007E1980"/>
    <w:pPr>
      <w:numPr>
        <w:numId w:val="13"/>
      </w:numPr>
      <w:spacing w:beforeLines="0" w:afterLines="0"/>
      <w:outlineLvl w:val="9"/>
    </w:pPr>
    <w:rPr>
      <w:rFonts w:ascii="宋体" w:eastAsia="宋体"/>
      <w:sz w:val="18"/>
      <w:szCs w:val="18"/>
    </w:rPr>
  </w:style>
  <w:style w:type="paragraph" w:customStyle="1" w:styleId="affd">
    <w:name w:val="二级无"/>
    <w:basedOn w:val="a3"/>
    <w:rsid w:val="001C149C"/>
    <w:pPr>
      <w:spacing w:beforeLines="0" w:afterLines="0"/>
    </w:pPr>
    <w:rPr>
      <w:rFonts w:ascii="宋体" w:eastAsia="宋体"/>
    </w:rPr>
  </w:style>
  <w:style w:type="paragraph" w:customStyle="1" w:styleId="a8">
    <w:name w:val="注：（正文）"/>
    <w:basedOn w:val="a0"/>
    <w:next w:val="aff6"/>
    <w:rsid w:val="004200D9"/>
    <w:pPr>
      <w:numPr>
        <w:numId w:val="24"/>
      </w:numPr>
      <w:ind w:left="726" w:hanging="363"/>
    </w:pPr>
  </w:style>
  <w:style w:type="paragraph" w:customStyle="1" w:styleId="a">
    <w:name w:val="注×：（正文）"/>
    <w:rsid w:val="0090690F"/>
    <w:pPr>
      <w:numPr>
        <w:numId w:val="27"/>
      </w:numPr>
      <w:ind w:left="811" w:hanging="448"/>
      <w:jc w:val="both"/>
    </w:pPr>
    <w:rPr>
      <w:rFonts w:ascii="宋体"/>
      <w:sz w:val="18"/>
      <w:szCs w:val="18"/>
    </w:rPr>
  </w:style>
  <w:style w:type="paragraph" w:customStyle="1" w:styleId="affe">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0">
    <w:name w:val="标准书脚_偶数页"/>
    <w:rsid w:val="000A48B1"/>
    <w:pPr>
      <w:spacing w:before="120"/>
      <w:ind w:left="221"/>
    </w:pPr>
    <w:rPr>
      <w:rFonts w:ascii="宋体"/>
      <w:sz w:val="18"/>
      <w:szCs w:val="18"/>
    </w:rPr>
  </w:style>
  <w:style w:type="paragraph" w:customStyle="1" w:styleId="afff1">
    <w:name w:val="标准书眉_偶数页"/>
    <w:basedOn w:val="aff8"/>
    <w:next w:val="aff2"/>
    <w:rsid w:val="0074741B"/>
    <w:pPr>
      <w:jc w:val="left"/>
    </w:pPr>
  </w:style>
  <w:style w:type="paragraph" w:customStyle="1" w:styleId="afff2">
    <w:name w:val="标准书眉一"/>
    <w:rsid w:val="00083A09"/>
    <w:pPr>
      <w:jc w:val="both"/>
    </w:pPr>
  </w:style>
  <w:style w:type="paragraph" w:customStyle="1" w:styleId="afff3">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4">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5">
    <w:name w:val="Hyperlink"/>
    <w:uiPriority w:val="99"/>
    <w:rsid w:val="00083A09"/>
    <w:rPr>
      <w:noProof/>
      <w:color w:val="0000FF"/>
      <w:spacing w:val="0"/>
      <w:w w:val="100"/>
      <w:szCs w:val="21"/>
      <w:u w:val="single"/>
    </w:rPr>
  </w:style>
  <w:style w:type="character" w:customStyle="1" w:styleId="afff6">
    <w:name w:val="发布"/>
    <w:rsid w:val="00C2314B"/>
    <w:rPr>
      <w:rFonts w:ascii="黑体" w:eastAsia="黑体"/>
      <w:spacing w:val="85"/>
      <w:w w:val="100"/>
      <w:position w:val="3"/>
      <w:sz w:val="28"/>
      <w:szCs w:val="28"/>
    </w:rPr>
  </w:style>
  <w:style w:type="paragraph" w:customStyle="1" w:styleId="afff7">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8">
    <w:name w:val="发布日期"/>
    <w:rsid w:val="00EC3CC9"/>
    <w:pPr>
      <w:framePr w:w="3997" w:h="471" w:hRule="exact" w:vSpace="181" w:wrap="around" w:hAnchor="page" w:x="7089" w:y="14097" w:anchorLock="1"/>
    </w:pPr>
    <w:rPr>
      <w:rFonts w:eastAsia="黑体"/>
      <w:sz w:val="28"/>
    </w:rPr>
  </w:style>
  <w:style w:type="paragraph" w:customStyle="1" w:styleId="afff9">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a">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b">
    <w:name w:val="封面标准英文名称"/>
    <w:basedOn w:val="afffa"/>
    <w:rsid w:val="001C21AC"/>
    <w:pPr>
      <w:framePr w:wrap="around"/>
      <w:spacing w:before="370" w:line="400" w:lineRule="exact"/>
    </w:pPr>
    <w:rPr>
      <w:rFonts w:ascii="Times New Roman"/>
      <w:sz w:val="28"/>
      <w:szCs w:val="28"/>
    </w:rPr>
  </w:style>
  <w:style w:type="paragraph" w:customStyle="1" w:styleId="afffc">
    <w:name w:val="封面一致性程度标识"/>
    <w:basedOn w:val="afffb"/>
    <w:rsid w:val="00083A09"/>
    <w:pPr>
      <w:framePr w:wrap="around"/>
      <w:spacing w:before="440"/>
    </w:pPr>
    <w:rPr>
      <w:rFonts w:ascii="宋体" w:eastAsia="宋体"/>
    </w:rPr>
  </w:style>
  <w:style w:type="paragraph" w:customStyle="1" w:styleId="afffd">
    <w:name w:val="封面标准文稿类别"/>
    <w:basedOn w:val="afffc"/>
    <w:rsid w:val="0054264B"/>
    <w:pPr>
      <w:framePr w:wrap="around"/>
      <w:spacing w:after="160" w:line="240" w:lineRule="auto"/>
    </w:pPr>
    <w:rPr>
      <w:sz w:val="24"/>
    </w:rPr>
  </w:style>
  <w:style w:type="paragraph" w:customStyle="1" w:styleId="afffe">
    <w:name w:val="封面标准文稿编辑信息"/>
    <w:basedOn w:val="afffd"/>
    <w:rsid w:val="00083A09"/>
    <w:pPr>
      <w:framePr w:wrap="around"/>
      <w:spacing w:before="180" w:line="180" w:lineRule="exact"/>
    </w:pPr>
    <w:rPr>
      <w:sz w:val="21"/>
    </w:rPr>
  </w:style>
  <w:style w:type="paragraph" w:customStyle="1" w:styleId="affff">
    <w:name w:val="封面正文"/>
    <w:rsid w:val="00083A09"/>
    <w:pPr>
      <w:jc w:val="both"/>
    </w:pPr>
  </w:style>
  <w:style w:type="paragraph" w:customStyle="1" w:styleId="af8">
    <w:name w:val="附录标识"/>
    <w:basedOn w:val="aff2"/>
    <w:next w:val="aff6"/>
    <w:rsid w:val="00083A09"/>
    <w:pPr>
      <w:keepNext/>
      <w:widowControl/>
      <w:numPr>
        <w:numId w:val="5"/>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0">
    <w:name w:val="附录标题"/>
    <w:basedOn w:val="aff6"/>
    <w:next w:val="aff6"/>
    <w:rsid w:val="00083A09"/>
    <w:pPr>
      <w:ind w:firstLineChars="0" w:firstLine="0"/>
      <w:jc w:val="center"/>
    </w:pPr>
    <w:rPr>
      <w:rFonts w:ascii="黑体" w:eastAsia="黑体"/>
    </w:rPr>
  </w:style>
  <w:style w:type="paragraph" w:customStyle="1" w:styleId="af4">
    <w:name w:val="附录表标号"/>
    <w:basedOn w:val="aff2"/>
    <w:next w:val="aff6"/>
    <w:rsid w:val="00083A09"/>
    <w:pPr>
      <w:numPr>
        <w:numId w:val="3"/>
      </w:numPr>
      <w:tabs>
        <w:tab w:val="clear" w:pos="0"/>
      </w:tabs>
      <w:spacing w:line="14" w:lineRule="exact"/>
      <w:ind w:left="811" w:hanging="448"/>
      <w:jc w:val="center"/>
      <w:outlineLvl w:val="0"/>
    </w:pPr>
    <w:rPr>
      <w:color w:val="FFFFFF"/>
    </w:rPr>
  </w:style>
  <w:style w:type="paragraph" w:customStyle="1" w:styleId="af5">
    <w:name w:val="附录表标题"/>
    <w:basedOn w:val="aff2"/>
    <w:next w:val="aff6"/>
    <w:rsid w:val="000D718B"/>
    <w:pPr>
      <w:numPr>
        <w:ilvl w:val="1"/>
        <w:numId w:val="3"/>
      </w:numPr>
      <w:tabs>
        <w:tab w:val="num" w:pos="180"/>
      </w:tabs>
      <w:spacing w:beforeLines="50" w:afterLines="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5"/>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1">
    <w:name w:val="附录二级无"/>
    <w:basedOn w:val="afb"/>
    <w:rsid w:val="00BF617A"/>
    <w:pPr>
      <w:tabs>
        <w:tab w:val="clear" w:pos="360"/>
      </w:tabs>
      <w:spacing w:beforeLines="0" w:afterLines="0"/>
    </w:pPr>
    <w:rPr>
      <w:rFonts w:ascii="宋体" w:eastAsia="宋体"/>
      <w:szCs w:val="21"/>
    </w:rPr>
  </w:style>
  <w:style w:type="paragraph" w:customStyle="1" w:styleId="affff2">
    <w:name w:val="附录公式"/>
    <w:basedOn w:val="aff6"/>
    <w:next w:val="aff6"/>
    <w:link w:val="Char1"/>
    <w:qFormat/>
    <w:rsid w:val="00083A09"/>
  </w:style>
  <w:style w:type="character" w:customStyle="1" w:styleId="Char1">
    <w:name w:val="附录公式 Char"/>
    <w:basedOn w:val="Char"/>
    <w:link w:val="affff2"/>
    <w:rsid w:val="00083A09"/>
    <w:rPr>
      <w:rFonts w:ascii="宋体"/>
      <w:noProof/>
      <w:sz w:val="21"/>
      <w:lang w:val="en-US" w:eastAsia="zh-CN" w:bidi="ar-SA"/>
    </w:rPr>
  </w:style>
  <w:style w:type="paragraph" w:customStyle="1" w:styleId="affff3">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4">
    <w:name w:val="附录三级无"/>
    <w:basedOn w:val="afc"/>
    <w:rsid w:val="00BF617A"/>
    <w:pPr>
      <w:tabs>
        <w:tab w:val="clear" w:pos="360"/>
      </w:tabs>
      <w:spacing w:beforeLines="0" w:afterLines="0"/>
    </w:pPr>
    <w:rPr>
      <w:rFonts w:ascii="宋体" w:eastAsia="宋体"/>
      <w:szCs w:val="21"/>
    </w:rPr>
  </w:style>
  <w:style w:type="paragraph" w:customStyle="1" w:styleId="aff1">
    <w:name w:val="附录数字编号列项（二级）"/>
    <w:qFormat/>
    <w:rsid w:val="00A751C7"/>
    <w:pPr>
      <w:numPr>
        <w:ilvl w:val="1"/>
        <w:numId w:val="6"/>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5">
    <w:name w:val="附录四级无"/>
    <w:basedOn w:val="afd"/>
    <w:rsid w:val="00BF617A"/>
    <w:pPr>
      <w:tabs>
        <w:tab w:val="clear" w:pos="360"/>
      </w:tabs>
      <w:spacing w:beforeLines="0" w:afterLines="0"/>
    </w:pPr>
    <w:rPr>
      <w:rFonts w:ascii="宋体" w:eastAsia="宋体"/>
      <w:szCs w:val="21"/>
    </w:rPr>
  </w:style>
  <w:style w:type="paragraph" w:customStyle="1" w:styleId="a9">
    <w:name w:val="附录图标号"/>
    <w:basedOn w:val="aff2"/>
    <w:rsid w:val="00083A09"/>
    <w:pPr>
      <w:keepNext/>
      <w:pageBreakBefore/>
      <w:widowControl/>
      <w:numPr>
        <w:numId w:val="4"/>
      </w:numPr>
      <w:spacing w:line="14" w:lineRule="exact"/>
      <w:ind w:left="0" w:firstLine="363"/>
      <w:jc w:val="center"/>
      <w:outlineLvl w:val="0"/>
    </w:pPr>
    <w:rPr>
      <w:color w:val="FFFFFF"/>
    </w:rPr>
  </w:style>
  <w:style w:type="paragraph" w:customStyle="1" w:styleId="aa">
    <w:name w:val="附录图标题"/>
    <w:basedOn w:val="aff2"/>
    <w:next w:val="aff6"/>
    <w:rsid w:val="000D718B"/>
    <w:pPr>
      <w:numPr>
        <w:ilvl w:val="1"/>
        <w:numId w:val="4"/>
      </w:numPr>
      <w:tabs>
        <w:tab w:val="num" w:pos="363"/>
      </w:tabs>
      <w:spacing w:beforeLines="50" w:afterLines="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6">
    <w:name w:val="附录五级无"/>
    <w:basedOn w:val="afe"/>
    <w:rsid w:val="00BF617A"/>
    <w:pPr>
      <w:tabs>
        <w:tab w:val="clear" w:pos="360"/>
      </w:tabs>
      <w:spacing w:beforeLines="0" w:afterLines="0"/>
    </w:pPr>
    <w:rPr>
      <w:rFonts w:ascii="宋体" w:eastAsia="宋体"/>
      <w:szCs w:val="21"/>
    </w:rPr>
  </w:style>
  <w:style w:type="paragraph" w:customStyle="1" w:styleId="af9">
    <w:name w:val="附录章标题"/>
    <w:next w:val="aff6"/>
    <w:rsid w:val="00083A09"/>
    <w:pPr>
      <w:numPr>
        <w:ilvl w:val="1"/>
        <w:numId w:val="5"/>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afterLines="50"/>
      <w:outlineLvl w:val="2"/>
    </w:pPr>
  </w:style>
  <w:style w:type="paragraph" w:customStyle="1" w:styleId="affff7">
    <w:name w:val="附录一级无"/>
    <w:basedOn w:val="afa"/>
    <w:rsid w:val="00BF617A"/>
    <w:pPr>
      <w:tabs>
        <w:tab w:val="clear" w:pos="360"/>
      </w:tabs>
      <w:spacing w:beforeLines="0" w:afterLines="0"/>
    </w:pPr>
    <w:rPr>
      <w:rFonts w:ascii="宋体" w:eastAsia="宋体"/>
      <w:szCs w:val="21"/>
    </w:rPr>
  </w:style>
  <w:style w:type="paragraph" w:customStyle="1" w:styleId="aff0">
    <w:name w:val="附录字母编号列项（一级）"/>
    <w:qFormat/>
    <w:rsid w:val="00A751C7"/>
    <w:pPr>
      <w:numPr>
        <w:numId w:val="6"/>
      </w:numPr>
    </w:pPr>
    <w:rPr>
      <w:rFonts w:ascii="宋体"/>
      <w:noProof/>
      <w:sz w:val="21"/>
    </w:rPr>
  </w:style>
  <w:style w:type="paragraph" w:styleId="ae">
    <w:name w:val="footnote text"/>
    <w:basedOn w:val="aff2"/>
    <w:rsid w:val="00074FBE"/>
    <w:pPr>
      <w:numPr>
        <w:numId w:val="7"/>
      </w:numPr>
      <w:snapToGrid w:val="0"/>
      <w:jc w:val="left"/>
    </w:pPr>
    <w:rPr>
      <w:rFonts w:ascii="宋体"/>
      <w:sz w:val="18"/>
      <w:szCs w:val="18"/>
    </w:rPr>
  </w:style>
  <w:style w:type="character" w:styleId="affff8">
    <w:name w:val="footnote reference"/>
    <w:semiHidden/>
    <w:rsid w:val="00083A09"/>
    <w:rPr>
      <w:vertAlign w:val="superscript"/>
    </w:rPr>
  </w:style>
  <w:style w:type="paragraph" w:customStyle="1" w:styleId="affff9">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a">
    <w:name w:val="列项说明数字编号"/>
    <w:rsid w:val="00083A09"/>
    <w:pPr>
      <w:ind w:leftChars="400" w:left="600" w:hangingChars="200" w:hanging="200"/>
    </w:pPr>
    <w:rPr>
      <w:rFonts w:ascii="宋体"/>
      <w:sz w:val="21"/>
    </w:rPr>
  </w:style>
  <w:style w:type="paragraph" w:customStyle="1" w:styleId="affffb">
    <w:name w:val="目次、索引正文"/>
    <w:rsid w:val="00083A09"/>
    <w:pPr>
      <w:spacing w:line="320" w:lineRule="exact"/>
      <w:jc w:val="both"/>
    </w:pPr>
    <w:rPr>
      <w:rFonts w:ascii="宋体"/>
      <w:sz w:val="21"/>
    </w:rPr>
  </w:style>
  <w:style w:type="paragraph" w:styleId="3">
    <w:name w:val="toc 3"/>
    <w:basedOn w:val="aff2"/>
    <w:next w:val="aff2"/>
    <w:autoRedefine/>
    <w:uiPriority w:val="39"/>
    <w:rsid w:val="00961C93"/>
    <w:pPr>
      <w:tabs>
        <w:tab w:val="right" w:leader="dot" w:pos="9241"/>
      </w:tabs>
      <w:ind w:firstLineChars="100" w:firstLine="100"/>
      <w:jc w:val="left"/>
    </w:pPr>
    <w:rPr>
      <w:rFonts w:ascii="宋体"/>
      <w:szCs w:val="21"/>
    </w:rPr>
  </w:style>
  <w:style w:type="paragraph" w:styleId="4">
    <w:name w:val="toc 4"/>
    <w:basedOn w:val="aff2"/>
    <w:next w:val="aff2"/>
    <w:autoRedefine/>
    <w:semiHidden/>
    <w:rsid w:val="00961C93"/>
    <w:pPr>
      <w:tabs>
        <w:tab w:val="right" w:leader="dot" w:pos="9241"/>
      </w:tabs>
      <w:ind w:firstLineChars="200" w:firstLine="200"/>
      <w:jc w:val="left"/>
    </w:pPr>
    <w:rPr>
      <w:rFonts w:ascii="宋体"/>
      <w:szCs w:val="21"/>
    </w:rPr>
  </w:style>
  <w:style w:type="paragraph" w:styleId="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6">
    <w:name w:val="toc 6"/>
    <w:basedOn w:val="aff2"/>
    <w:next w:val="aff2"/>
    <w:autoRedefine/>
    <w:semiHidden/>
    <w:rsid w:val="00961C93"/>
    <w:pPr>
      <w:tabs>
        <w:tab w:val="right" w:leader="dot" w:pos="9241"/>
      </w:tabs>
      <w:ind w:firstLineChars="400" w:firstLine="400"/>
      <w:jc w:val="left"/>
    </w:pPr>
    <w:rPr>
      <w:rFonts w:ascii="宋体"/>
      <w:szCs w:val="21"/>
    </w:rPr>
  </w:style>
  <w:style w:type="paragraph" w:styleId="7">
    <w:name w:val="toc 7"/>
    <w:basedOn w:val="aff2"/>
    <w:next w:val="aff2"/>
    <w:autoRedefine/>
    <w:semiHidden/>
    <w:rsid w:val="00961C93"/>
    <w:pPr>
      <w:tabs>
        <w:tab w:val="right" w:leader="dot" w:pos="9241"/>
      </w:tabs>
      <w:ind w:firstLineChars="500" w:firstLine="500"/>
      <w:jc w:val="left"/>
    </w:pPr>
    <w:rPr>
      <w:rFonts w:ascii="宋体"/>
      <w:szCs w:val="21"/>
    </w:rPr>
  </w:style>
  <w:style w:type="paragraph" w:styleId="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9">
    <w:name w:val="toc 9"/>
    <w:basedOn w:val="aff2"/>
    <w:next w:val="aff2"/>
    <w:autoRedefine/>
    <w:semiHidden/>
    <w:rsid w:val="00083A09"/>
    <w:pPr>
      <w:ind w:left="1470"/>
      <w:jc w:val="left"/>
    </w:pPr>
    <w:rPr>
      <w:sz w:val="20"/>
      <w:szCs w:val="20"/>
    </w:rPr>
  </w:style>
  <w:style w:type="paragraph" w:customStyle="1" w:styleId="affffc">
    <w:name w:val="其他标准标志"/>
    <w:basedOn w:val="affe"/>
    <w:rsid w:val="0018211B"/>
    <w:pPr>
      <w:framePr w:w="6101" w:wrap="around" w:vAnchor="page" w:hAnchor="page" w:x="4673" w:y="942"/>
    </w:pPr>
    <w:rPr>
      <w:w w:val="130"/>
    </w:rPr>
  </w:style>
  <w:style w:type="paragraph" w:customStyle="1" w:styleId="affffd">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e">
    <w:name w:val="其他发布部门"/>
    <w:basedOn w:val="afff7"/>
    <w:rsid w:val="00525656"/>
    <w:pPr>
      <w:framePr w:wrap="around" w:y="15310"/>
      <w:spacing w:line="0" w:lineRule="atLeast"/>
    </w:pPr>
    <w:rPr>
      <w:rFonts w:ascii="黑体" w:eastAsia="黑体"/>
      <w:b w:val="0"/>
    </w:rPr>
  </w:style>
  <w:style w:type="paragraph" w:customStyle="1" w:styleId="afffff">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0">
    <w:name w:val="三级无"/>
    <w:basedOn w:val="a4"/>
    <w:rsid w:val="001C149C"/>
    <w:pPr>
      <w:spacing w:beforeLines="0" w:afterLines="0"/>
    </w:pPr>
    <w:rPr>
      <w:rFonts w:ascii="宋体" w:eastAsia="宋体"/>
    </w:rPr>
  </w:style>
  <w:style w:type="paragraph" w:customStyle="1" w:styleId="afffff1">
    <w:name w:val="实施日期"/>
    <w:rsid w:val="00DF5CC9"/>
    <w:pPr>
      <w:framePr w:w="3997" w:h="471" w:hRule="exact" w:vSpace="181" w:wrap="around" w:vAnchor="page" w:hAnchor="page" w:x="7089" w:y="14097"/>
      <w:jc w:val="right"/>
    </w:pPr>
    <w:rPr>
      <w:rFonts w:eastAsia="黑体"/>
      <w:sz w:val="28"/>
    </w:rPr>
  </w:style>
  <w:style w:type="paragraph" w:customStyle="1" w:styleId="afffff2">
    <w:name w:val="示例后文字"/>
    <w:basedOn w:val="aff6"/>
    <w:next w:val="aff6"/>
    <w:qFormat/>
    <w:rsid w:val="00083A09"/>
    <w:pPr>
      <w:ind w:firstLine="360"/>
    </w:pPr>
    <w:rPr>
      <w:sz w:val="18"/>
    </w:rPr>
  </w:style>
  <w:style w:type="paragraph" w:customStyle="1" w:styleId="afffff3">
    <w:name w:val="首示例"/>
    <w:next w:val="aff6"/>
    <w:link w:val="Char2"/>
    <w:qFormat/>
    <w:rsid w:val="00083A09"/>
    <w:pPr>
      <w:tabs>
        <w:tab w:val="num" w:pos="360"/>
      </w:tabs>
    </w:pPr>
    <w:rPr>
      <w:rFonts w:ascii="宋体" w:hAnsi="宋体"/>
      <w:kern w:val="2"/>
      <w:sz w:val="18"/>
      <w:szCs w:val="18"/>
    </w:rPr>
  </w:style>
  <w:style w:type="character" w:customStyle="1" w:styleId="Char2">
    <w:name w:val="首示例 Char"/>
    <w:link w:val="afffff3"/>
    <w:rsid w:val="00083A09"/>
    <w:rPr>
      <w:rFonts w:ascii="宋体" w:hAnsi="宋体"/>
      <w:kern w:val="2"/>
      <w:sz w:val="18"/>
      <w:szCs w:val="18"/>
    </w:rPr>
  </w:style>
  <w:style w:type="paragraph" w:customStyle="1" w:styleId="afffff4">
    <w:name w:val="四级无"/>
    <w:basedOn w:val="a5"/>
    <w:rsid w:val="001C149C"/>
    <w:pPr>
      <w:spacing w:beforeLines="0" w:afterLines="0"/>
    </w:pPr>
    <w:rPr>
      <w:rFonts w:ascii="宋体" w:eastAsia="宋体"/>
    </w:rPr>
  </w:style>
  <w:style w:type="paragraph" w:styleId="10">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0"/>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e"/>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7">
    <w:name w:val="图表脚注说明"/>
    <w:basedOn w:val="aff2"/>
    <w:rsid w:val="003912E7"/>
    <w:pPr>
      <w:numPr>
        <w:numId w:val="30"/>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b">
    <w:name w:val="endnote text"/>
    <w:basedOn w:val="aff2"/>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6"/>
    <w:rsid w:val="001C149C"/>
    <w:pPr>
      <w:spacing w:beforeLines="0" w:afterLines="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2"/>
    <w:rsid w:val="001C149C"/>
    <w:pPr>
      <w:spacing w:beforeLines="0" w:afterLines="0"/>
    </w:pPr>
    <w:rPr>
      <w:rFonts w:ascii="宋体" w:eastAsia="宋体"/>
    </w:rPr>
  </w:style>
  <w:style w:type="character" w:styleId="affffff2">
    <w:name w:val="FollowedHyperlink"/>
    <w:rsid w:val="00083A09"/>
    <w:rPr>
      <w:color w:val="800080"/>
      <w:u w:val="single"/>
    </w:rPr>
  </w:style>
  <w:style w:type="paragraph" w:customStyle="1" w:styleId="af7">
    <w:name w:val="正文表标题"/>
    <w:next w:val="aff6"/>
    <w:rsid w:val="00083A09"/>
    <w:pPr>
      <w:numPr>
        <w:numId w:val="10"/>
      </w:numPr>
      <w:spacing w:beforeLines="50" w:afterLines="50"/>
      <w:jc w:val="center"/>
    </w:pPr>
    <w:rPr>
      <w:rFonts w:ascii="黑体" w:eastAsia="黑体"/>
      <w:sz w:val="21"/>
    </w:rPr>
  </w:style>
  <w:style w:type="paragraph" w:customStyle="1" w:styleId="affffff3">
    <w:name w:val="正文公式编号制表符"/>
    <w:basedOn w:val="aff6"/>
    <w:next w:val="aff6"/>
    <w:qFormat/>
    <w:rsid w:val="00EC680A"/>
    <w:pPr>
      <w:ind w:firstLineChars="0" w:firstLine="0"/>
    </w:pPr>
  </w:style>
  <w:style w:type="paragraph" w:customStyle="1" w:styleId="af2">
    <w:name w:val="正文图标题"/>
    <w:next w:val="aff6"/>
    <w:rsid w:val="00083A09"/>
    <w:pPr>
      <w:numPr>
        <w:numId w:val="11"/>
      </w:numPr>
      <w:spacing w:beforeLines="50" w:afterLines="50"/>
      <w:jc w:val="center"/>
    </w:pPr>
    <w:rPr>
      <w:rFonts w:ascii="黑体" w:eastAsia="黑体"/>
      <w:sz w:val="21"/>
    </w:rPr>
  </w:style>
  <w:style w:type="paragraph" w:customStyle="1" w:styleId="affffff4">
    <w:name w:val="终结线"/>
    <w:basedOn w:val="aff2"/>
    <w:rsid w:val="00083A09"/>
    <w:pPr>
      <w:framePr w:hSpace="181" w:vSpace="181" w:wrap="around" w:vAnchor="text" w:hAnchor="margin" w:xAlign="center" w:y="285"/>
    </w:pPr>
  </w:style>
  <w:style w:type="paragraph" w:customStyle="1" w:styleId="affffff5">
    <w:name w:val="其他发布日期"/>
    <w:rsid w:val="00E1051A"/>
    <w:pPr>
      <w:framePr w:w="3997" w:h="471" w:hRule="exact" w:vSpace="181" w:wrap="around" w:vAnchor="page" w:hAnchor="page" w:x="1419" w:y="14097" w:anchorLock="1"/>
    </w:pPr>
    <w:rPr>
      <w:rFonts w:eastAsia="黑体"/>
      <w:sz w:val="28"/>
    </w:rPr>
  </w:style>
  <w:style w:type="paragraph" w:customStyle="1" w:styleId="affffff6">
    <w:name w:val="其他实施日期"/>
    <w:basedOn w:val="afffff1"/>
    <w:rsid w:val="006E4A7F"/>
    <w:pPr>
      <w:framePr w:wrap="around"/>
    </w:pPr>
  </w:style>
  <w:style w:type="paragraph" w:customStyle="1" w:styleId="21">
    <w:name w:val="封面标准名称2"/>
    <w:basedOn w:val="afffa"/>
    <w:rsid w:val="0028269A"/>
    <w:pPr>
      <w:framePr w:wrap="around" w:y="4469"/>
      <w:spacing w:beforeLines="630"/>
    </w:pPr>
  </w:style>
  <w:style w:type="paragraph" w:customStyle="1" w:styleId="22">
    <w:name w:val="封面标准英文名称2"/>
    <w:basedOn w:val="afffb"/>
    <w:rsid w:val="0028269A"/>
    <w:pPr>
      <w:framePr w:wrap="around" w:y="4469"/>
    </w:pPr>
  </w:style>
  <w:style w:type="paragraph" w:customStyle="1" w:styleId="23">
    <w:name w:val="封面一致性程度标识2"/>
    <w:basedOn w:val="afffc"/>
    <w:rsid w:val="0028269A"/>
    <w:pPr>
      <w:framePr w:wrap="around" w:y="4469"/>
    </w:pPr>
  </w:style>
  <w:style w:type="paragraph" w:customStyle="1" w:styleId="24">
    <w:name w:val="封面标准文稿类别2"/>
    <w:basedOn w:val="afffd"/>
    <w:rsid w:val="0028269A"/>
    <w:pPr>
      <w:framePr w:wrap="around" w:y="4469"/>
    </w:pPr>
  </w:style>
  <w:style w:type="paragraph" w:customStyle="1" w:styleId="25">
    <w:name w:val="封面标准文稿编辑信息2"/>
    <w:basedOn w:val="afffe"/>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11">
    <w:name w:val="toc 1"/>
    <w:basedOn w:val="aff2"/>
    <w:next w:val="aff2"/>
    <w:autoRedefine/>
    <w:uiPriority w:val="39"/>
    <w:rsid w:val="00961C93"/>
    <w:pPr>
      <w:tabs>
        <w:tab w:val="right" w:leader="dot" w:pos="9242"/>
      </w:tabs>
      <w:spacing w:beforeLines="25" w:afterLines="25"/>
      <w:jc w:val="left"/>
    </w:pPr>
    <w:rPr>
      <w:rFonts w:ascii="宋体"/>
      <w:szCs w:val="21"/>
    </w:rPr>
  </w:style>
  <w:style w:type="paragraph" w:styleId="26">
    <w:name w:val="toc 2"/>
    <w:basedOn w:val="aff2"/>
    <w:next w:val="aff2"/>
    <w:autoRedefine/>
    <w:semiHidden/>
    <w:rsid w:val="00961C93"/>
    <w:pPr>
      <w:tabs>
        <w:tab w:val="right" w:leader="dot" w:pos="9242"/>
      </w:tabs>
    </w:pPr>
    <w:rPr>
      <w:rFonts w:ascii="宋体"/>
      <w:szCs w:val="21"/>
    </w:rPr>
  </w:style>
  <w:style w:type="paragraph" w:customStyle="1" w:styleId="affffff7">
    <w:name w:val="标准名称"/>
    <w:basedOn w:val="aff9"/>
    <w:link w:val="Char3"/>
    <w:qFormat/>
    <w:rsid w:val="00B74441"/>
  </w:style>
  <w:style w:type="character" w:styleId="affffff8">
    <w:name w:val="Placeholder Text"/>
    <w:basedOn w:val="aff3"/>
    <w:uiPriority w:val="99"/>
    <w:semiHidden/>
    <w:rsid w:val="00B74441"/>
    <w:rPr>
      <w:color w:val="808080"/>
    </w:rPr>
  </w:style>
  <w:style w:type="character" w:customStyle="1" w:styleId="Char0">
    <w:name w:val="目次、标准名称标题 Char"/>
    <w:basedOn w:val="aff3"/>
    <w:link w:val="aff9"/>
    <w:rsid w:val="00B74441"/>
    <w:rPr>
      <w:rFonts w:ascii="黑体" w:eastAsia="黑体"/>
      <w:sz w:val="32"/>
      <w:shd w:val="clear" w:color="FFFFFF" w:fill="FFFFFF"/>
    </w:rPr>
  </w:style>
  <w:style w:type="character" w:customStyle="1" w:styleId="Char3">
    <w:name w:val="标准名称 Char"/>
    <w:basedOn w:val="Char0"/>
    <w:link w:val="affffff7"/>
    <w:rsid w:val="00B74441"/>
    <w:rPr>
      <w:rFonts w:ascii="黑体" w:eastAsia="黑体"/>
      <w:sz w:val="32"/>
      <w:shd w:val="clear" w:color="FFFFFF" w:fill="FFFFFF"/>
    </w:rPr>
  </w:style>
  <w:style w:type="paragraph" w:styleId="affffff9">
    <w:name w:val="Balloon Text"/>
    <w:basedOn w:val="aff2"/>
    <w:link w:val="Char4"/>
    <w:rsid w:val="00B74441"/>
    <w:rPr>
      <w:sz w:val="18"/>
      <w:szCs w:val="18"/>
    </w:rPr>
  </w:style>
  <w:style w:type="character" w:customStyle="1" w:styleId="Char4">
    <w:name w:val="批注框文本 Char"/>
    <w:basedOn w:val="aff3"/>
    <w:link w:val="affffff9"/>
    <w:rsid w:val="00B7444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2">
    <w:name w:val="Normal"/>
    <w:qFormat/>
    <w:rsid w:val="003234E0"/>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qFormat/>
    <w:rsid w:val="00035925"/>
    <w:rPr>
      <w:rFonts w:ascii="宋体"/>
      <w:noProof/>
      <w:sz w:val="21"/>
      <w:lang w:val="en-US" w:eastAsia="zh-CN" w:bidi="ar-SA"/>
    </w:rPr>
  </w:style>
  <w:style w:type="paragraph" w:customStyle="1" w:styleId="a2">
    <w:name w:val="一级条标题"/>
    <w:next w:val="aff6"/>
    <w:rsid w:val="001C149C"/>
    <w:pPr>
      <w:numPr>
        <w:ilvl w:val="1"/>
        <w:numId w:val="9"/>
      </w:numPr>
      <w:spacing w:beforeLines="50" w:afterLines="50"/>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1">
    <w:name w:val="章标题"/>
    <w:next w:val="aff6"/>
    <w:rsid w:val="001C149C"/>
    <w:pPr>
      <w:numPr>
        <w:numId w:val="9"/>
      </w:numPr>
      <w:spacing w:beforeLines="100" w:afterLines="100"/>
      <w:jc w:val="both"/>
      <w:outlineLvl w:val="1"/>
    </w:pPr>
    <w:rPr>
      <w:rFonts w:ascii="黑体" w:eastAsia="黑体"/>
      <w:sz w:val="21"/>
    </w:rPr>
  </w:style>
  <w:style w:type="paragraph" w:customStyle="1" w:styleId="a3">
    <w:name w:val="二级条标题"/>
    <w:basedOn w:val="a2"/>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b">
    <w:name w:val="列项——（一级）"/>
    <w:rsid w:val="00BE55CB"/>
    <w:pPr>
      <w:widowControl w:val="0"/>
      <w:numPr>
        <w:numId w:val="1"/>
      </w:numPr>
      <w:jc w:val="both"/>
    </w:pPr>
    <w:rPr>
      <w:rFonts w:ascii="宋体"/>
      <w:sz w:val="21"/>
    </w:rPr>
  </w:style>
  <w:style w:type="paragraph" w:customStyle="1" w:styleId="ac">
    <w:name w:val="列项●（二级）"/>
    <w:rsid w:val="00BE55CB"/>
    <w:pPr>
      <w:numPr>
        <w:ilvl w:val="1"/>
        <w:numId w:val="1"/>
      </w:numPr>
      <w:tabs>
        <w:tab w:val="left" w:pos="840"/>
      </w:tabs>
      <w:jc w:val="both"/>
    </w:pPr>
    <w:rPr>
      <w:rFonts w:ascii="宋体"/>
      <w:sz w:val="21"/>
    </w:rPr>
  </w:style>
  <w:style w:type="paragraph" w:customStyle="1" w:styleId="aff9">
    <w:name w:val="目次、标准名称标题"/>
    <w:basedOn w:val="aff2"/>
    <w:next w:val="aff6"/>
    <w:link w:val="Char0"/>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4">
    <w:name w:val="三级条标题"/>
    <w:basedOn w:val="a3"/>
    <w:next w:val="aff6"/>
    <w:rsid w:val="001C149C"/>
    <w:pPr>
      <w:numPr>
        <w:ilvl w:val="3"/>
      </w:numPr>
      <w:outlineLvl w:val="4"/>
    </w:pPr>
  </w:style>
  <w:style w:type="paragraph" w:customStyle="1" w:styleId="af6">
    <w:name w:val="示例"/>
    <w:next w:val="affa"/>
    <w:rsid w:val="005A5EAF"/>
    <w:pPr>
      <w:widowControl w:val="0"/>
      <w:numPr>
        <w:numId w:val="12"/>
      </w:numPr>
      <w:jc w:val="both"/>
    </w:pPr>
    <w:rPr>
      <w:rFonts w:ascii="宋体"/>
      <w:sz w:val="18"/>
      <w:szCs w:val="18"/>
    </w:rPr>
  </w:style>
  <w:style w:type="paragraph" w:customStyle="1" w:styleId="af0">
    <w:name w:val="数字编号列项（二级）"/>
    <w:rsid w:val="003E5729"/>
    <w:pPr>
      <w:numPr>
        <w:ilvl w:val="1"/>
        <w:numId w:val="8"/>
      </w:numPr>
      <w:jc w:val="both"/>
    </w:pPr>
    <w:rPr>
      <w:rFonts w:ascii="宋体"/>
      <w:sz w:val="21"/>
    </w:rPr>
  </w:style>
  <w:style w:type="paragraph" w:customStyle="1" w:styleId="a5">
    <w:name w:val="四级条标题"/>
    <w:basedOn w:val="a4"/>
    <w:next w:val="aff6"/>
    <w:rsid w:val="001C149C"/>
    <w:pPr>
      <w:numPr>
        <w:ilvl w:val="4"/>
      </w:numPr>
      <w:outlineLvl w:val="5"/>
    </w:pPr>
  </w:style>
  <w:style w:type="paragraph" w:customStyle="1" w:styleId="a6">
    <w:name w:val="五级条标题"/>
    <w:basedOn w:val="a5"/>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rsid w:val="00930116"/>
    <w:pPr>
      <w:snapToGrid w:val="0"/>
      <w:jc w:val="left"/>
    </w:pPr>
    <w:rPr>
      <w:sz w:val="18"/>
      <w:szCs w:val="18"/>
    </w:rPr>
  </w:style>
  <w:style w:type="paragraph" w:customStyle="1" w:styleId="a0">
    <w:name w:val="注："/>
    <w:next w:val="aff6"/>
    <w:rsid w:val="004200D9"/>
    <w:pPr>
      <w:widowControl w:val="0"/>
      <w:numPr>
        <w:numId w:val="29"/>
      </w:numPr>
      <w:autoSpaceDE w:val="0"/>
      <w:autoSpaceDN w:val="0"/>
      <w:ind w:left="726" w:hanging="363"/>
      <w:jc w:val="both"/>
    </w:pPr>
    <w:rPr>
      <w:rFonts w:ascii="宋体"/>
      <w:sz w:val="18"/>
      <w:szCs w:val="18"/>
    </w:rPr>
  </w:style>
  <w:style w:type="paragraph" w:customStyle="1" w:styleId="af3">
    <w:name w:val="注×："/>
    <w:rsid w:val="0090690F"/>
    <w:pPr>
      <w:widowControl w:val="0"/>
      <w:numPr>
        <w:numId w:val="25"/>
      </w:numPr>
      <w:autoSpaceDE w:val="0"/>
      <w:autoSpaceDN w:val="0"/>
      <w:ind w:left="811" w:hanging="448"/>
      <w:jc w:val="both"/>
    </w:pPr>
    <w:rPr>
      <w:rFonts w:ascii="宋体"/>
      <w:sz w:val="18"/>
      <w:szCs w:val="18"/>
    </w:rPr>
  </w:style>
  <w:style w:type="paragraph" w:customStyle="1" w:styleId="af">
    <w:name w:val="字母编号列项（一级）"/>
    <w:rsid w:val="003E5729"/>
    <w:pPr>
      <w:numPr>
        <w:numId w:val="8"/>
      </w:numPr>
      <w:jc w:val="both"/>
    </w:pPr>
    <w:rPr>
      <w:rFonts w:ascii="宋体"/>
      <w:sz w:val="21"/>
    </w:rPr>
  </w:style>
  <w:style w:type="paragraph" w:customStyle="1" w:styleId="ad">
    <w:name w:val="列项◆（三级）"/>
    <w:basedOn w:val="aff2"/>
    <w:rsid w:val="00BE55CB"/>
    <w:pPr>
      <w:numPr>
        <w:ilvl w:val="2"/>
        <w:numId w:val="1"/>
      </w:numPr>
    </w:pPr>
    <w:rPr>
      <w:rFonts w:ascii="宋体"/>
      <w:szCs w:val="21"/>
    </w:rPr>
  </w:style>
  <w:style w:type="paragraph" w:customStyle="1" w:styleId="af1">
    <w:name w:val="编号列项（三级）"/>
    <w:rsid w:val="003E5729"/>
    <w:pPr>
      <w:numPr>
        <w:ilvl w:val="2"/>
        <w:numId w:val="8"/>
      </w:numPr>
    </w:pPr>
    <w:rPr>
      <w:rFonts w:ascii="宋体"/>
      <w:sz w:val="21"/>
    </w:rPr>
  </w:style>
  <w:style w:type="paragraph" w:customStyle="1" w:styleId="aff">
    <w:name w:val="示例×："/>
    <w:basedOn w:val="a1"/>
    <w:qFormat/>
    <w:rsid w:val="007E1980"/>
    <w:pPr>
      <w:numPr>
        <w:numId w:val="13"/>
      </w:numPr>
      <w:spacing w:beforeLines="0" w:afterLines="0"/>
      <w:outlineLvl w:val="9"/>
    </w:pPr>
    <w:rPr>
      <w:rFonts w:ascii="宋体" w:eastAsia="宋体"/>
      <w:sz w:val="18"/>
      <w:szCs w:val="18"/>
    </w:rPr>
  </w:style>
  <w:style w:type="paragraph" w:customStyle="1" w:styleId="affd">
    <w:name w:val="二级无"/>
    <w:basedOn w:val="a3"/>
    <w:rsid w:val="001C149C"/>
    <w:pPr>
      <w:spacing w:beforeLines="0" w:afterLines="0"/>
    </w:pPr>
    <w:rPr>
      <w:rFonts w:ascii="宋体" w:eastAsia="宋体"/>
    </w:rPr>
  </w:style>
  <w:style w:type="paragraph" w:customStyle="1" w:styleId="a8">
    <w:name w:val="注：（正文）"/>
    <w:basedOn w:val="a0"/>
    <w:next w:val="aff6"/>
    <w:rsid w:val="004200D9"/>
    <w:pPr>
      <w:numPr>
        <w:numId w:val="24"/>
      </w:numPr>
      <w:ind w:left="726" w:hanging="363"/>
    </w:pPr>
  </w:style>
  <w:style w:type="paragraph" w:customStyle="1" w:styleId="a">
    <w:name w:val="注×：（正文）"/>
    <w:rsid w:val="0090690F"/>
    <w:pPr>
      <w:numPr>
        <w:numId w:val="27"/>
      </w:numPr>
      <w:ind w:left="811" w:hanging="448"/>
      <w:jc w:val="both"/>
    </w:pPr>
    <w:rPr>
      <w:rFonts w:ascii="宋体"/>
      <w:sz w:val="18"/>
      <w:szCs w:val="18"/>
    </w:rPr>
  </w:style>
  <w:style w:type="paragraph" w:customStyle="1" w:styleId="affe">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0">
    <w:name w:val="标准书脚_偶数页"/>
    <w:rsid w:val="000A48B1"/>
    <w:pPr>
      <w:spacing w:before="120"/>
      <w:ind w:left="221"/>
    </w:pPr>
    <w:rPr>
      <w:rFonts w:ascii="宋体"/>
      <w:sz w:val="18"/>
      <w:szCs w:val="18"/>
    </w:rPr>
  </w:style>
  <w:style w:type="paragraph" w:customStyle="1" w:styleId="afff1">
    <w:name w:val="标准书眉_偶数页"/>
    <w:basedOn w:val="aff8"/>
    <w:next w:val="aff2"/>
    <w:rsid w:val="0074741B"/>
    <w:pPr>
      <w:jc w:val="left"/>
    </w:pPr>
  </w:style>
  <w:style w:type="paragraph" w:customStyle="1" w:styleId="afff2">
    <w:name w:val="标准书眉一"/>
    <w:rsid w:val="00083A09"/>
    <w:pPr>
      <w:jc w:val="both"/>
    </w:pPr>
  </w:style>
  <w:style w:type="paragraph" w:customStyle="1" w:styleId="afff3">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4">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5">
    <w:name w:val="Hyperlink"/>
    <w:uiPriority w:val="99"/>
    <w:rsid w:val="00083A09"/>
    <w:rPr>
      <w:noProof/>
      <w:color w:val="0000FF"/>
      <w:spacing w:val="0"/>
      <w:w w:val="100"/>
      <w:szCs w:val="21"/>
      <w:u w:val="single"/>
    </w:rPr>
  </w:style>
  <w:style w:type="character" w:customStyle="1" w:styleId="afff6">
    <w:name w:val="发布"/>
    <w:rsid w:val="00C2314B"/>
    <w:rPr>
      <w:rFonts w:ascii="黑体" w:eastAsia="黑体"/>
      <w:spacing w:val="85"/>
      <w:w w:val="100"/>
      <w:position w:val="3"/>
      <w:sz w:val="28"/>
      <w:szCs w:val="28"/>
    </w:rPr>
  </w:style>
  <w:style w:type="paragraph" w:customStyle="1" w:styleId="afff7">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8">
    <w:name w:val="发布日期"/>
    <w:rsid w:val="00EC3CC9"/>
    <w:pPr>
      <w:framePr w:w="3997" w:h="471" w:hRule="exact" w:vSpace="181" w:wrap="around" w:hAnchor="page" w:x="7089" w:y="14097" w:anchorLock="1"/>
    </w:pPr>
    <w:rPr>
      <w:rFonts w:eastAsia="黑体"/>
      <w:sz w:val="28"/>
    </w:rPr>
  </w:style>
  <w:style w:type="paragraph" w:customStyle="1" w:styleId="afff9">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a">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b">
    <w:name w:val="封面标准英文名称"/>
    <w:basedOn w:val="afffa"/>
    <w:rsid w:val="001C21AC"/>
    <w:pPr>
      <w:framePr w:wrap="around"/>
      <w:spacing w:before="370" w:line="400" w:lineRule="exact"/>
    </w:pPr>
    <w:rPr>
      <w:rFonts w:ascii="Times New Roman"/>
      <w:sz w:val="28"/>
      <w:szCs w:val="28"/>
    </w:rPr>
  </w:style>
  <w:style w:type="paragraph" w:customStyle="1" w:styleId="afffc">
    <w:name w:val="封面一致性程度标识"/>
    <w:basedOn w:val="afffb"/>
    <w:rsid w:val="00083A09"/>
    <w:pPr>
      <w:framePr w:wrap="around"/>
      <w:spacing w:before="440"/>
    </w:pPr>
    <w:rPr>
      <w:rFonts w:ascii="宋体" w:eastAsia="宋体"/>
    </w:rPr>
  </w:style>
  <w:style w:type="paragraph" w:customStyle="1" w:styleId="afffd">
    <w:name w:val="封面标准文稿类别"/>
    <w:basedOn w:val="afffc"/>
    <w:rsid w:val="0054264B"/>
    <w:pPr>
      <w:framePr w:wrap="around"/>
      <w:spacing w:after="160" w:line="240" w:lineRule="auto"/>
    </w:pPr>
    <w:rPr>
      <w:sz w:val="24"/>
    </w:rPr>
  </w:style>
  <w:style w:type="paragraph" w:customStyle="1" w:styleId="afffe">
    <w:name w:val="封面标准文稿编辑信息"/>
    <w:basedOn w:val="afffd"/>
    <w:rsid w:val="00083A09"/>
    <w:pPr>
      <w:framePr w:wrap="around"/>
      <w:spacing w:before="180" w:line="180" w:lineRule="exact"/>
    </w:pPr>
    <w:rPr>
      <w:sz w:val="21"/>
    </w:rPr>
  </w:style>
  <w:style w:type="paragraph" w:customStyle="1" w:styleId="affff">
    <w:name w:val="封面正文"/>
    <w:rsid w:val="00083A09"/>
    <w:pPr>
      <w:jc w:val="both"/>
    </w:pPr>
  </w:style>
  <w:style w:type="paragraph" w:customStyle="1" w:styleId="af8">
    <w:name w:val="附录标识"/>
    <w:basedOn w:val="aff2"/>
    <w:next w:val="aff6"/>
    <w:rsid w:val="00083A09"/>
    <w:pPr>
      <w:keepNext/>
      <w:widowControl/>
      <w:numPr>
        <w:numId w:val="5"/>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0">
    <w:name w:val="附录标题"/>
    <w:basedOn w:val="aff6"/>
    <w:next w:val="aff6"/>
    <w:rsid w:val="00083A09"/>
    <w:pPr>
      <w:ind w:firstLineChars="0" w:firstLine="0"/>
      <w:jc w:val="center"/>
    </w:pPr>
    <w:rPr>
      <w:rFonts w:ascii="黑体" w:eastAsia="黑体"/>
    </w:rPr>
  </w:style>
  <w:style w:type="paragraph" w:customStyle="1" w:styleId="af4">
    <w:name w:val="附录表标号"/>
    <w:basedOn w:val="aff2"/>
    <w:next w:val="aff6"/>
    <w:rsid w:val="00083A09"/>
    <w:pPr>
      <w:numPr>
        <w:numId w:val="3"/>
      </w:numPr>
      <w:tabs>
        <w:tab w:val="clear" w:pos="0"/>
      </w:tabs>
      <w:spacing w:line="14" w:lineRule="exact"/>
      <w:ind w:left="811" w:hanging="448"/>
      <w:jc w:val="center"/>
      <w:outlineLvl w:val="0"/>
    </w:pPr>
    <w:rPr>
      <w:color w:val="FFFFFF"/>
    </w:rPr>
  </w:style>
  <w:style w:type="paragraph" w:customStyle="1" w:styleId="af5">
    <w:name w:val="附录表标题"/>
    <w:basedOn w:val="aff2"/>
    <w:next w:val="aff6"/>
    <w:rsid w:val="000D718B"/>
    <w:pPr>
      <w:numPr>
        <w:ilvl w:val="1"/>
        <w:numId w:val="3"/>
      </w:numPr>
      <w:tabs>
        <w:tab w:val="num" w:pos="180"/>
      </w:tabs>
      <w:spacing w:beforeLines="50" w:afterLines="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5"/>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1">
    <w:name w:val="附录二级无"/>
    <w:basedOn w:val="afb"/>
    <w:rsid w:val="00BF617A"/>
    <w:pPr>
      <w:tabs>
        <w:tab w:val="clear" w:pos="360"/>
      </w:tabs>
      <w:spacing w:beforeLines="0" w:afterLines="0"/>
    </w:pPr>
    <w:rPr>
      <w:rFonts w:ascii="宋体" w:eastAsia="宋体"/>
      <w:szCs w:val="21"/>
    </w:rPr>
  </w:style>
  <w:style w:type="paragraph" w:customStyle="1" w:styleId="affff2">
    <w:name w:val="附录公式"/>
    <w:basedOn w:val="aff6"/>
    <w:next w:val="aff6"/>
    <w:link w:val="Char1"/>
    <w:qFormat/>
    <w:rsid w:val="00083A09"/>
  </w:style>
  <w:style w:type="character" w:customStyle="1" w:styleId="Char1">
    <w:name w:val="附录公式 Char"/>
    <w:basedOn w:val="Char"/>
    <w:link w:val="affff2"/>
    <w:rsid w:val="00083A09"/>
    <w:rPr>
      <w:rFonts w:ascii="宋体"/>
      <w:noProof/>
      <w:sz w:val="21"/>
      <w:lang w:val="en-US" w:eastAsia="zh-CN" w:bidi="ar-SA"/>
    </w:rPr>
  </w:style>
  <w:style w:type="paragraph" w:customStyle="1" w:styleId="affff3">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4">
    <w:name w:val="附录三级无"/>
    <w:basedOn w:val="afc"/>
    <w:rsid w:val="00BF617A"/>
    <w:pPr>
      <w:tabs>
        <w:tab w:val="clear" w:pos="360"/>
      </w:tabs>
      <w:spacing w:beforeLines="0" w:afterLines="0"/>
    </w:pPr>
    <w:rPr>
      <w:rFonts w:ascii="宋体" w:eastAsia="宋体"/>
      <w:szCs w:val="21"/>
    </w:rPr>
  </w:style>
  <w:style w:type="paragraph" w:customStyle="1" w:styleId="aff1">
    <w:name w:val="附录数字编号列项（二级）"/>
    <w:qFormat/>
    <w:rsid w:val="00A751C7"/>
    <w:pPr>
      <w:numPr>
        <w:ilvl w:val="1"/>
        <w:numId w:val="6"/>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5">
    <w:name w:val="附录四级无"/>
    <w:basedOn w:val="afd"/>
    <w:rsid w:val="00BF617A"/>
    <w:pPr>
      <w:tabs>
        <w:tab w:val="clear" w:pos="360"/>
      </w:tabs>
      <w:spacing w:beforeLines="0" w:afterLines="0"/>
    </w:pPr>
    <w:rPr>
      <w:rFonts w:ascii="宋体" w:eastAsia="宋体"/>
      <w:szCs w:val="21"/>
    </w:rPr>
  </w:style>
  <w:style w:type="paragraph" w:customStyle="1" w:styleId="a9">
    <w:name w:val="附录图标号"/>
    <w:basedOn w:val="aff2"/>
    <w:rsid w:val="00083A09"/>
    <w:pPr>
      <w:keepNext/>
      <w:pageBreakBefore/>
      <w:widowControl/>
      <w:numPr>
        <w:numId w:val="4"/>
      </w:numPr>
      <w:spacing w:line="14" w:lineRule="exact"/>
      <w:ind w:left="0" w:firstLine="363"/>
      <w:jc w:val="center"/>
      <w:outlineLvl w:val="0"/>
    </w:pPr>
    <w:rPr>
      <w:color w:val="FFFFFF"/>
    </w:rPr>
  </w:style>
  <w:style w:type="paragraph" w:customStyle="1" w:styleId="aa">
    <w:name w:val="附录图标题"/>
    <w:basedOn w:val="aff2"/>
    <w:next w:val="aff6"/>
    <w:rsid w:val="000D718B"/>
    <w:pPr>
      <w:numPr>
        <w:ilvl w:val="1"/>
        <w:numId w:val="4"/>
      </w:numPr>
      <w:tabs>
        <w:tab w:val="num" w:pos="363"/>
      </w:tabs>
      <w:spacing w:beforeLines="50" w:afterLines="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6">
    <w:name w:val="附录五级无"/>
    <w:basedOn w:val="afe"/>
    <w:rsid w:val="00BF617A"/>
    <w:pPr>
      <w:tabs>
        <w:tab w:val="clear" w:pos="360"/>
      </w:tabs>
      <w:spacing w:beforeLines="0" w:afterLines="0"/>
    </w:pPr>
    <w:rPr>
      <w:rFonts w:ascii="宋体" w:eastAsia="宋体"/>
      <w:szCs w:val="21"/>
    </w:rPr>
  </w:style>
  <w:style w:type="paragraph" w:customStyle="1" w:styleId="af9">
    <w:name w:val="附录章标题"/>
    <w:next w:val="aff6"/>
    <w:rsid w:val="00083A09"/>
    <w:pPr>
      <w:numPr>
        <w:ilvl w:val="1"/>
        <w:numId w:val="5"/>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afterLines="50"/>
      <w:outlineLvl w:val="2"/>
    </w:pPr>
  </w:style>
  <w:style w:type="paragraph" w:customStyle="1" w:styleId="affff7">
    <w:name w:val="附录一级无"/>
    <w:basedOn w:val="afa"/>
    <w:rsid w:val="00BF617A"/>
    <w:pPr>
      <w:tabs>
        <w:tab w:val="clear" w:pos="360"/>
      </w:tabs>
      <w:spacing w:beforeLines="0" w:afterLines="0"/>
    </w:pPr>
    <w:rPr>
      <w:rFonts w:ascii="宋体" w:eastAsia="宋体"/>
      <w:szCs w:val="21"/>
    </w:rPr>
  </w:style>
  <w:style w:type="paragraph" w:customStyle="1" w:styleId="aff0">
    <w:name w:val="附录字母编号列项（一级）"/>
    <w:qFormat/>
    <w:rsid w:val="00A751C7"/>
    <w:pPr>
      <w:numPr>
        <w:numId w:val="6"/>
      </w:numPr>
    </w:pPr>
    <w:rPr>
      <w:rFonts w:ascii="宋体"/>
      <w:noProof/>
      <w:sz w:val="21"/>
    </w:rPr>
  </w:style>
  <w:style w:type="paragraph" w:styleId="ae">
    <w:name w:val="footnote text"/>
    <w:basedOn w:val="aff2"/>
    <w:rsid w:val="00074FBE"/>
    <w:pPr>
      <w:numPr>
        <w:numId w:val="7"/>
      </w:numPr>
      <w:snapToGrid w:val="0"/>
      <w:jc w:val="left"/>
    </w:pPr>
    <w:rPr>
      <w:rFonts w:ascii="宋体"/>
      <w:sz w:val="18"/>
      <w:szCs w:val="18"/>
    </w:rPr>
  </w:style>
  <w:style w:type="character" w:styleId="affff8">
    <w:name w:val="footnote reference"/>
    <w:semiHidden/>
    <w:rsid w:val="00083A09"/>
    <w:rPr>
      <w:vertAlign w:val="superscript"/>
    </w:rPr>
  </w:style>
  <w:style w:type="paragraph" w:customStyle="1" w:styleId="affff9">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a">
    <w:name w:val="列项说明数字编号"/>
    <w:rsid w:val="00083A09"/>
    <w:pPr>
      <w:ind w:leftChars="400" w:left="600" w:hangingChars="200" w:hanging="200"/>
    </w:pPr>
    <w:rPr>
      <w:rFonts w:ascii="宋体"/>
      <w:sz w:val="21"/>
    </w:rPr>
  </w:style>
  <w:style w:type="paragraph" w:customStyle="1" w:styleId="affffb">
    <w:name w:val="目次、索引正文"/>
    <w:rsid w:val="00083A09"/>
    <w:pPr>
      <w:spacing w:line="320" w:lineRule="exact"/>
      <w:jc w:val="both"/>
    </w:pPr>
    <w:rPr>
      <w:rFonts w:ascii="宋体"/>
      <w:sz w:val="21"/>
    </w:rPr>
  </w:style>
  <w:style w:type="paragraph" w:styleId="3">
    <w:name w:val="toc 3"/>
    <w:basedOn w:val="aff2"/>
    <w:next w:val="aff2"/>
    <w:autoRedefine/>
    <w:uiPriority w:val="39"/>
    <w:rsid w:val="00961C93"/>
    <w:pPr>
      <w:tabs>
        <w:tab w:val="right" w:leader="dot" w:pos="9241"/>
      </w:tabs>
      <w:ind w:firstLineChars="100" w:firstLine="100"/>
      <w:jc w:val="left"/>
    </w:pPr>
    <w:rPr>
      <w:rFonts w:ascii="宋体"/>
      <w:szCs w:val="21"/>
    </w:rPr>
  </w:style>
  <w:style w:type="paragraph" w:styleId="4">
    <w:name w:val="toc 4"/>
    <w:basedOn w:val="aff2"/>
    <w:next w:val="aff2"/>
    <w:autoRedefine/>
    <w:semiHidden/>
    <w:rsid w:val="00961C93"/>
    <w:pPr>
      <w:tabs>
        <w:tab w:val="right" w:leader="dot" w:pos="9241"/>
      </w:tabs>
      <w:ind w:firstLineChars="200" w:firstLine="200"/>
      <w:jc w:val="left"/>
    </w:pPr>
    <w:rPr>
      <w:rFonts w:ascii="宋体"/>
      <w:szCs w:val="21"/>
    </w:rPr>
  </w:style>
  <w:style w:type="paragraph" w:styleId="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6">
    <w:name w:val="toc 6"/>
    <w:basedOn w:val="aff2"/>
    <w:next w:val="aff2"/>
    <w:autoRedefine/>
    <w:semiHidden/>
    <w:rsid w:val="00961C93"/>
    <w:pPr>
      <w:tabs>
        <w:tab w:val="right" w:leader="dot" w:pos="9241"/>
      </w:tabs>
      <w:ind w:firstLineChars="400" w:firstLine="400"/>
      <w:jc w:val="left"/>
    </w:pPr>
    <w:rPr>
      <w:rFonts w:ascii="宋体"/>
      <w:szCs w:val="21"/>
    </w:rPr>
  </w:style>
  <w:style w:type="paragraph" w:styleId="7">
    <w:name w:val="toc 7"/>
    <w:basedOn w:val="aff2"/>
    <w:next w:val="aff2"/>
    <w:autoRedefine/>
    <w:semiHidden/>
    <w:rsid w:val="00961C93"/>
    <w:pPr>
      <w:tabs>
        <w:tab w:val="right" w:leader="dot" w:pos="9241"/>
      </w:tabs>
      <w:ind w:firstLineChars="500" w:firstLine="500"/>
      <w:jc w:val="left"/>
    </w:pPr>
    <w:rPr>
      <w:rFonts w:ascii="宋体"/>
      <w:szCs w:val="21"/>
    </w:rPr>
  </w:style>
  <w:style w:type="paragraph" w:styleId="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9">
    <w:name w:val="toc 9"/>
    <w:basedOn w:val="aff2"/>
    <w:next w:val="aff2"/>
    <w:autoRedefine/>
    <w:semiHidden/>
    <w:rsid w:val="00083A09"/>
    <w:pPr>
      <w:ind w:left="1470"/>
      <w:jc w:val="left"/>
    </w:pPr>
    <w:rPr>
      <w:sz w:val="20"/>
      <w:szCs w:val="20"/>
    </w:rPr>
  </w:style>
  <w:style w:type="paragraph" w:customStyle="1" w:styleId="affffc">
    <w:name w:val="其他标准标志"/>
    <w:basedOn w:val="affe"/>
    <w:rsid w:val="0018211B"/>
    <w:pPr>
      <w:framePr w:w="6101" w:wrap="around" w:vAnchor="page" w:hAnchor="page" w:x="4673" w:y="942"/>
    </w:pPr>
    <w:rPr>
      <w:w w:val="130"/>
    </w:rPr>
  </w:style>
  <w:style w:type="paragraph" w:customStyle="1" w:styleId="affffd">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e">
    <w:name w:val="其他发布部门"/>
    <w:basedOn w:val="afff7"/>
    <w:rsid w:val="00525656"/>
    <w:pPr>
      <w:framePr w:wrap="around" w:y="15310"/>
      <w:spacing w:line="0" w:lineRule="atLeast"/>
    </w:pPr>
    <w:rPr>
      <w:rFonts w:ascii="黑体" w:eastAsia="黑体"/>
      <w:b w:val="0"/>
    </w:rPr>
  </w:style>
  <w:style w:type="paragraph" w:customStyle="1" w:styleId="afffff">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0">
    <w:name w:val="三级无"/>
    <w:basedOn w:val="a4"/>
    <w:rsid w:val="001C149C"/>
    <w:pPr>
      <w:spacing w:beforeLines="0" w:afterLines="0"/>
    </w:pPr>
    <w:rPr>
      <w:rFonts w:ascii="宋体" w:eastAsia="宋体"/>
    </w:rPr>
  </w:style>
  <w:style w:type="paragraph" w:customStyle="1" w:styleId="afffff1">
    <w:name w:val="实施日期"/>
    <w:rsid w:val="00DF5CC9"/>
    <w:pPr>
      <w:framePr w:w="3997" w:h="471" w:hRule="exact" w:vSpace="181" w:wrap="around" w:vAnchor="page" w:hAnchor="page" w:x="7089" w:y="14097"/>
      <w:jc w:val="right"/>
    </w:pPr>
    <w:rPr>
      <w:rFonts w:eastAsia="黑体"/>
      <w:sz w:val="28"/>
    </w:rPr>
  </w:style>
  <w:style w:type="paragraph" w:customStyle="1" w:styleId="afffff2">
    <w:name w:val="示例后文字"/>
    <w:basedOn w:val="aff6"/>
    <w:next w:val="aff6"/>
    <w:qFormat/>
    <w:rsid w:val="00083A09"/>
    <w:pPr>
      <w:ind w:firstLine="360"/>
    </w:pPr>
    <w:rPr>
      <w:sz w:val="18"/>
    </w:rPr>
  </w:style>
  <w:style w:type="paragraph" w:customStyle="1" w:styleId="afffff3">
    <w:name w:val="首示例"/>
    <w:next w:val="aff6"/>
    <w:link w:val="Char2"/>
    <w:qFormat/>
    <w:rsid w:val="00083A09"/>
    <w:pPr>
      <w:tabs>
        <w:tab w:val="num" w:pos="360"/>
      </w:tabs>
    </w:pPr>
    <w:rPr>
      <w:rFonts w:ascii="宋体" w:hAnsi="宋体"/>
      <w:kern w:val="2"/>
      <w:sz w:val="18"/>
      <w:szCs w:val="18"/>
    </w:rPr>
  </w:style>
  <w:style w:type="character" w:customStyle="1" w:styleId="Char2">
    <w:name w:val="首示例 Char"/>
    <w:link w:val="afffff3"/>
    <w:rsid w:val="00083A09"/>
    <w:rPr>
      <w:rFonts w:ascii="宋体" w:hAnsi="宋体"/>
      <w:kern w:val="2"/>
      <w:sz w:val="18"/>
      <w:szCs w:val="18"/>
    </w:rPr>
  </w:style>
  <w:style w:type="paragraph" w:customStyle="1" w:styleId="afffff4">
    <w:name w:val="四级无"/>
    <w:basedOn w:val="a5"/>
    <w:rsid w:val="001C149C"/>
    <w:pPr>
      <w:spacing w:beforeLines="0" w:afterLines="0"/>
    </w:pPr>
    <w:rPr>
      <w:rFonts w:ascii="宋体" w:eastAsia="宋体"/>
    </w:rPr>
  </w:style>
  <w:style w:type="paragraph" w:styleId="10">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0"/>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e"/>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7">
    <w:name w:val="图表脚注说明"/>
    <w:basedOn w:val="aff2"/>
    <w:rsid w:val="003912E7"/>
    <w:pPr>
      <w:numPr>
        <w:numId w:val="30"/>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b">
    <w:name w:val="endnote text"/>
    <w:basedOn w:val="aff2"/>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6"/>
    <w:rsid w:val="001C149C"/>
    <w:pPr>
      <w:spacing w:beforeLines="0" w:afterLines="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2"/>
    <w:rsid w:val="001C149C"/>
    <w:pPr>
      <w:spacing w:beforeLines="0" w:afterLines="0"/>
    </w:pPr>
    <w:rPr>
      <w:rFonts w:ascii="宋体" w:eastAsia="宋体"/>
    </w:rPr>
  </w:style>
  <w:style w:type="character" w:styleId="affffff2">
    <w:name w:val="FollowedHyperlink"/>
    <w:rsid w:val="00083A09"/>
    <w:rPr>
      <w:color w:val="800080"/>
      <w:u w:val="single"/>
    </w:rPr>
  </w:style>
  <w:style w:type="paragraph" w:customStyle="1" w:styleId="af7">
    <w:name w:val="正文表标题"/>
    <w:next w:val="aff6"/>
    <w:rsid w:val="00083A09"/>
    <w:pPr>
      <w:numPr>
        <w:numId w:val="10"/>
      </w:numPr>
      <w:spacing w:beforeLines="50" w:afterLines="50"/>
      <w:jc w:val="center"/>
    </w:pPr>
    <w:rPr>
      <w:rFonts w:ascii="黑体" w:eastAsia="黑体"/>
      <w:sz w:val="21"/>
    </w:rPr>
  </w:style>
  <w:style w:type="paragraph" w:customStyle="1" w:styleId="affffff3">
    <w:name w:val="正文公式编号制表符"/>
    <w:basedOn w:val="aff6"/>
    <w:next w:val="aff6"/>
    <w:qFormat/>
    <w:rsid w:val="00EC680A"/>
    <w:pPr>
      <w:ind w:firstLineChars="0" w:firstLine="0"/>
    </w:pPr>
  </w:style>
  <w:style w:type="paragraph" w:customStyle="1" w:styleId="af2">
    <w:name w:val="正文图标题"/>
    <w:next w:val="aff6"/>
    <w:rsid w:val="00083A09"/>
    <w:pPr>
      <w:numPr>
        <w:numId w:val="11"/>
      </w:numPr>
      <w:spacing w:beforeLines="50" w:afterLines="50"/>
      <w:jc w:val="center"/>
    </w:pPr>
    <w:rPr>
      <w:rFonts w:ascii="黑体" w:eastAsia="黑体"/>
      <w:sz w:val="21"/>
    </w:rPr>
  </w:style>
  <w:style w:type="paragraph" w:customStyle="1" w:styleId="affffff4">
    <w:name w:val="终结线"/>
    <w:basedOn w:val="aff2"/>
    <w:rsid w:val="00083A09"/>
    <w:pPr>
      <w:framePr w:hSpace="181" w:vSpace="181" w:wrap="around" w:vAnchor="text" w:hAnchor="margin" w:xAlign="center" w:y="285"/>
    </w:pPr>
  </w:style>
  <w:style w:type="paragraph" w:customStyle="1" w:styleId="affffff5">
    <w:name w:val="其他发布日期"/>
    <w:rsid w:val="00E1051A"/>
    <w:pPr>
      <w:framePr w:w="3997" w:h="471" w:hRule="exact" w:vSpace="181" w:wrap="around" w:vAnchor="page" w:hAnchor="page" w:x="1419" w:y="14097" w:anchorLock="1"/>
    </w:pPr>
    <w:rPr>
      <w:rFonts w:eastAsia="黑体"/>
      <w:sz w:val="28"/>
    </w:rPr>
  </w:style>
  <w:style w:type="paragraph" w:customStyle="1" w:styleId="affffff6">
    <w:name w:val="其他实施日期"/>
    <w:basedOn w:val="afffff1"/>
    <w:rsid w:val="006E4A7F"/>
    <w:pPr>
      <w:framePr w:wrap="around"/>
    </w:pPr>
  </w:style>
  <w:style w:type="paragraph" w:customStyle="1" w:styleId="21">
    <w:name w:val="封面标准名称2"/>
    <w:basedOn w:val="afffa"/>
    <w:rsid w:val="0028269A"/>
    <w:pPr>
      <w:framePr w:wrap="around" w:y="4469"/>
      <w:spacing w:beforeLines="630"/>
    </w:pPr>
  </w:style>
  <w:style w:type="paragraph" w:customStyle="1" w:styleId="22">
    <w:name w:val="封面标准英文名称2"/>
    <w:basedOn w:val="afffb"/>
    <w:rsid w:val="0028269A"/>
    <w:pPr>
      <w:framePr w:wrap="around" w:y="4469"/>
    </w:pPr>
  </w:style>
  <w:style w:type="paragraph" w:customStyle="1" w:styleId="23">
    <w:name w:val="封面一致性程度标识2"/>
    <w:basedOn w:val="afffc"/>
    <w:rsid w:val="0028269A"/>
    <w:pPr>
      <w:framePr w:wrap="around" w:y="4469"/>
    </w:pPr>
  </w:style>
  <w:style w:type="paragraph" w:customStyle="1" w:styleId="24">
    <w:name w:val="封面标准文稿类别2"/>
    <w:basedOn w:val="afffd"/>
    <w:rsid w:val="0028269A"/>
    <w:pPr>
      <w:framePr w:wrap="around" w:y="4469"/>
    </w:pPr>
  </w:style>
  <w:style w:type="paragraph" w:customStyle="1" w:styleId="25">
    <w:name w:val="封面标准文稿编辑信息2"/>
    <w:basedOn w:val="afffe"/>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11">
    <w:name w:val="toc 1"/>
    <w:basedOn w:val="aff2"/>
    <w:next w:val="aff2"/>
    <w:autoRedefine/>
    <w:uiPriority w:val="39"/>
    <w:rsid w:val="00961C93"/>
    <w:pPr>
      <w:tabs>
        <w:tab w:val="right" w:leader="dot" w:pos="9242"/>
      </w:tabs>
      <w:spacing w:beforeLines="25" w:afterLines="25"/>
      <w:jc w:val="left"/>
    </w:pPr>
    <w:rPr>
      <w:rFonts w:ascii="宋体"/>
      <w:szCs w:val="21"/>
    </w:rPr>
  </w:style>
  <w:style w:type="paragraph" w:styleId="26">
    <w:name w:val="toc 2"/>
    <w:basedOn w:val="aff2"/>
    <w:next w:val="aff2"/>
    <w:autoRedefine/>
    <w:semiHidden/>
    <w:rsid w:val="00961C93"/>
    <w:pPr>
      <w:tabs>
        <w:tab w:val="right" w:leader="dot" w:pos="9242"/>
      </w:tabs>
    </w:pPr>
    <w:rPr>
      <w:rFonts w:ascii="宋体"/>
      <w:szCs w:val="21"/>
    </w:rPr>
  </w:style>
  <w:style w:type="paragraph" w:customStyle="1" w:styleId="affffff7">
    <w:name w:val="标准名称"/>
    <w:basedOn w:val="aff9"/>
    <w:link w:val="Char3"/>
    <w:qFormat/>
    <w:rsid w:val="00B74441"/>
  </w:style>
  <w:style w:type="character" w:styleId="affffff8">
    <w:name w:val="Placeholder Text"/>
    <w:basedOn w:val="aff3"/>
    <w:uiPriority w:val="99"/>
    <w:semiHidden/>
    <w:rsid w:val="00B74441"/>
    <w:rPr>
      <w:color w:val="808080"/>
    </w:rPr>
  </w:style>
  <w:style w:type="character" w:customStyle="1" w:styleId="Char0">
    <w:name w:val="目次、标准名称标题 Char"/>
    <w:basedOn w:val="aff3"/>
    <w:link w:val="aff9"/>
    <w:rsid w:val="00B74441"/>
    <w:rPr>
      <w:rFonts w:ascii="黑体" w:eastAsia="黑体"/>
      <w:sz w:val="32"/>
      <w:shd w:val="clear" w:color="FFFFFF" w:fill="FFFFFF"/>
    </w:rPr>
  </w:style>
  <w:style w:type="character" w:customStyle="1" w:styleId="Char3">
    <w:name w:val="标准名称 Char"/>
    <w:basedOn w:val="Char0"/>
    <w:link w:val="affffff7"/>
    <w:rsid w:val="00B74441"/>
    <w:rPr>
      <w:rFonts w:ascii="黑体" w:eastAsia="黑体"/>
      <w:sz w:val="32"/>
      <w:shd w:val="clear" w:color="FFFFFF" w:fill="FFFFFF"/>
    </w:rPr>
  </w:style>
  <w:style w:type="paragraph" w:styleId="affffff9">
    <w:name w:val="Balloon Text"/>
    <w:basedOn w:val="aff2"/>
    <w:link w:val="Char4"/>
    <w:rsid w:val="00B74441"/>
    <w:rPr>
      <w:sz w:val="18"/>
      <w:szCs w:val="18"/>
    </w:rPr>
  </w:style>
  <w:style w:type="character" w:customStyle="1" w:styleId="Char4">
    <w:name w:val="批注框文本 Char"/>
    <w:basedOn w:val="aff3"/>
    <w:link w:val="affffff9"/>
    <w:rsid w:val="00B7444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4684">
      <w:bodyDiv w:val="1"/>
      <w:marLeft w:val="0"/>
      <w:marRight w:val="0"/>
      <w:marTop w:val="0"/>
      <w:marBottom w:val="0"/>
      <w:divBdr>
        <w:top w:val="none" w:sz="0" w:space="0" w:color="auto"/>
        <w:left w:val="none" w:sz="0" w:space="0" w:color="auto"/>
        <w:bottom w:val="none" w:sz="0" w:space="0" w:color="auto"/>
        <w:right w:val="none" w:sz="0" w:space="0" w:color="auto"/>
      </w:divBdr>
    </w:div>
    <w:div w:id="11736020">
      <w:bodyDiv w:val="1"/>
      <w:marLeft w:val="0"/>
      <w:marRight w:val="0"/>
      <w:marTop w:val="0"/>
      <w:marBottom w:val="0"/>
      <w:divBdr>
        <w:top w:val="none" w:sz="0" w:space="0" w:color="auto"/>
        <w:left w:val="none" w:sz="0" w:space="0" w:color="auto"/>
        <w:bottom w:val="none" w:sz="0" w:space="0" w:color="auto"/>
        <w:right w:val="none" w:sz="0" w:space="0" w:color="auto"/>
      </w:divBdr>
    </w:div>
    <w:div w:id="54554599">
      <w:bodyDiv w:val="1"/>
      <w:marLeft w:val="0"/>
      <w:marRight w:val="0"/>
      <w:marTop w:val="0"/>
      <w:marBottom w:val="0"/>
      <w:divBdr>
        <w:top w:val="none" w:sz="0" w:space="0" w:color="auto"/>
        <w:left w:val="none" w:sz="0" w:space="0" w:color="auto"/>
        <w:bottom w:val="none" w:sz="0" w:space="0" w:color="auto"/>
        <w:right w:val="none" w:sz="0" w:space="0" w:color="auto"/>
      </w:divBdr>
    </w:div>
    <w:div w:id="195823959">
      <w:bodyDiv w:val="1"/>
      <w:marLeft w:val="0"/>
      <w:marRight w:val="0"/>
      <w:marTop w:val="0"/>
      <w:marBottom w:val="0"/>
      <w:divBdr>
        <w:top w:val="none" w:sz="0" w:space="0" w:color="auto"/>
        <w:left w:val="none" w:sz="0" w:space="0" w:color="auto"/>
        <w:bottom w:val="none" w:sz="0" w:space="0" w:color="auto"/>
        <w:right w:val="none" w:sz="0" w:space="0" w:color="auto"/>
      </w:divBdr>
    </w:div>
    <w:div w:id="486898486">
      <w:bodyDiv w:val="1"/>
      <w:marLeft w:val="0"/>
      <w:marRight w:val="0"/>
      <w:marTop w:val="0"/>
      <w:marBottom w:val="0"/>
      <w:divBdr>
        <w:top w:val="none" w:sz="0" w:space="0" w:color="auto"/>
        <w:left w:val="none" w:sz="0" w:space="0" w:color="auto"/>
        <w:bottom w:val="none" w:sz="0" w:space="0" w:color="auto"/>
        <w:right w:val="none" w:sz="0" w:space="0" w:color="auto"/>
      </w:divBdr>
    </w:div>
    <w:div w:id="551767401">
      <w:bodyDiv w:val="1"/>
      <w:marLeft w:val="0"/>
      <w:marRight w:val="0"/>
      <w:marTop w:val="0"/>
      <w:marBottom w:val="0"/>
      <w:divBdr>
        <w:top w:val="none" w:sz="0" w:space="0" w:color="auto"/>
        <w:left w:val="none" w:sz="0" w:space="0" w:color="auto"/>
        <w:bottom w:val="none" w:sz="0" w:space="0" w:color="auto"/>
        <w:right w:val="none" w:sz="0" w:space="0" w:color="auto"/>
      </w:divBdr>
    </w:div>
    <w:div w:id="613755822">
      <w:bodyDiv w:val="1"/>
      <w:marLeft w:val="0"/>
      <w:marRight w:val="0"/>
      <w:marTop w:val="0"/>
      <w:marBottom w:val="0"/>
      <w:divBdr>
        <w:top w:val="none" w:sz="0" w:space="0" w:color="auto"/>
        <w:left w:val="none" w:sz="0" w:space="0" w:color="auto"/>
        <w:bottom w:val="none" w:sz="0" w:space="0" w:color="auto"/>
        <w:right w:val="none" w:sz="0" w:space="0" w:color="auto"/>
      </w:divBdr>
    </w:div>
    <w:div w:id="683628053">
      <w:bodyDiv w:val="1"/>
      <w:marLeft w:val="0"/>
      <w:marRight w:val="0"/>
      <w:marTop w:val="0"/>
      <w:marBottom w:val="0"/>
      <w:divBdr>
        <w:top w:val="none" w:sz="0" w:space="0" w:color="auto"/>
        <w:left w:val="none" w:sz="0" w:space="0" w:color="auto"/>
        <w:bottom w:val="none" w:sz="0" w:space="0" w:color="auto"/>
        <w:right w:val="none" w:sz="0" w:space="0" w:color="auto"/>
      </w:divBdr>
    </w:div>
    <w:div w:id="731854901">
      <w:bodyDiv w:val="1"/>
      <w:marLeft w:val="0"/>
      <w:marRight w:val="0"/>
      <w:marTop w:val="0"/>
      <w:marBottom w:val="0"/>
      <w:divBdr>
        <w:top w:val="none" w:sz="0" w:space="0" w:color="auto"/>
        <w:left w:val="none" w:sz="0" w:space="0" w:color="auto"/>
        <w:bottom w:val="none" w:sz="0" w:space="0" w:color="auto"/>
        <w:right w:val="none" w:sz="0" w:space="0" w:color="auto"/>
      </w:divBdr>
    </w:div>
    <w:div w:id="813450544">
      <w:bodyDiv w:val="1"/>
      <w:marLeft w:val="0"/>
      <w:marRight w:val="0"/>
      <w:marTop w:val="0"/>
      <w:marBottom w:val="0"/>
      <w:divBdr>
        <w:top w:val="none" w:sz="0" w:space="0" w:color="auto"/>
        <w:left w:val="none" w:sz="0" w:space="0" w:color="auto"/>
        <w:bottom w:val="none" w:sz="0" w:space="0" w:color="auto"/>
        <w:right w:val="none" w:sz="0" w:space="0" w:color="auto"/>
      </w:divBdr>
    </w:div>
    <w:div w:id="851455803">
      <w:bodyDiv w:val="1"/>
      <w:marLeft w:val="0"/>
      <w:marRight w:val="0"/>
      <w:marTop w:val="0"/>
      <w:marBottom w:val="0"/>
      <w:divBdr>
        <w:top w:val="none" w:sz="0" w:space="0" w:color="auto"/>
        <w:left w:val="none" w:sz="0" w:space="0" w:color="auto"/>
        <w:bottom w:val="none" w:sz="0" w:space="0" w:color="auto"/>
        <w:right w:val="none" w:sz="0" w:space="0" w:color="auto"/>
      </w:divBdr>
    </w:div>
    <w:div w:id="861018596">
      <w:bodyDiv w:val="1"/>
      <w:marLeft w:val="0"/>
      <w:marRight w:val="0"/>
      <w:marTop w:val="0"/>
      <w:marBottom w:val="0"/>
      <w:divBdr>
        <w:top w:val="none" w:sz="0" w:space="0" w:color="auto"/>
        <w:left w:val="none" w:sz="0" w:space="0" w:color="auto"/>
        <w:bottom w:val="none" w:sz="0" w:space="0" w:color="auto"/>
        <w:right w:val="none" w:sz="0" w:space="0" w:color="auto"/>
      </w:divBdr>
    </w:div>
    <w:div w:id="881017126">
      <w:bodyDiv w:val="1"/>
      <w:marLeft w:val="0"/>
      <w:marRight w:val="0"/>
      <w:marTop w:val="0"/>
      <w:marBottom w:val="0"/>
      <w:divBdr>
        <w:top w:val="none" w:sz="0" w:space="0" w:color="auto"/>
        <w:left w:val="none" w:sz="0" w:space="0" w:color="auto"/>
        <w:bottom w:val="none" w:sz="0" w:space="0" w:color="auto"/>
        <w:right w:val="none" w:sz="0" w:space="0" w:color="auto"/>
      </w:divBdr>
    </w:div>
    <w:div w:id="1131287860">
      <w:bodyDiv w:val="1"/>
      <w:marLeft w:val="0"/>
      <w:marRight w:val="0"/>
      <w:marTop w:val="0"/>
      <w:marBottom w:val="0"/>
      <w:divBdr>
        <w:top w:val="none" w:sz="0" w:space="0" w:color="auto"/>
        <w:left w:val="none" w:sz="0" w:space="0" w:color="auto"/>
        <w:bottom w:val="none" w:sz="0" w:space="0" w:color="auto"/>
        <w:right w:val="none" w:sz="0" w:space="0" w:color="auto"/>
      </w:divBdr>
    </w:div>
    <w:div w:id="1259407846">
      <w:bodyDiv w:val="1"/>
      <w:marLeft w:val="0"/>
      <w:marRight w:val="0"/>
      <w:marTop w:val="0"/>
      <w:marBottom w:val="0"/>
      <w:divBdr>
        <w:top w:val="none" w:sz="0" w:space="0" w:color="auto"/>
        <w:left w:val="none" w:sz="0" w:space="0" w:color="auto"/>
        <w:bottom w:val="none" w:sz="0" w:space="0" w:color="auto"/>
        <w:right w:val="none" w:sz="0" w:space="0" w:color="auto"/>
      </w:divBdr>
    </w:div>
    <w:div w:id="1261647580">
      <w:bodyDiv w:val="1"/>
      <w:marLeft w:val="0"/>
      <w:marRight w:val="0"/>
      <w:marTop w:val="0"/>
      <w:marBottom w:val="0"/>
      <w:divBdr>
        <w:top w:val="none" w:sz="0" w:space="0" w:color="auto"/>
        <w:left w:val="none" w:sz="0" w:space="0" w:color="auto"/>
        <w:bottom w:val="none" w:sz="0" w:space="0" w:color="auto"/>
        <w:right w:val="none" w:sz="0" w:space="0" w:color="auto"/>
      </w:divBdr>
    </w:div>
    <w:div w:id="1366562059">
      <w:bodyDiv w:val="1"/>
      <w:marLeft w:val="0"/>
      <w:marRight w:val="0"/>
      <w:marTop w:val="0"/>
      <w:marBottom w:val="0"/>
      <w:divBdr>
        <w:top w:val="none" w:sz="0" w:space="0" w:color="auto"/>
        <w:left w:val="none" w:sz="0" w:space="0" w:color="auto"/>
        <w:bottom w:val="none" w:sz="0" w:space="0" w:color="auto"/>
        <w:right w:val="none" w:sz="0" w:space="0" w:color="auto"/>
      </w:divBdr>
    </w:div>
    <w:div w:id="1405833430">
      <w:bodyDiv w:val="1"/>
      <w:marLeft w:val="0"/>
      <w:marRight w:val="0"/>
      <w:marTop w:val="0"/>
      <w:marBottom w:val="0"/>
      <w:divBdr>
        <w:top w:val="none" w:sz="0" w:space="0" w:color="auto"/>
        <w:left w:val="none" w:sz="0" w:space="0" w:color="auto"/>
        <w:bottom w:val="none" w:sz="0" w:space="0" w:color="auto"/>
        <w:right w:val="none" w:sz="0" w:space="0" w:color="auto"/>
      </w:divBdr>
    </w:div>
    <w:div w:id="1502038787">
      <w:bodyDiv w:val="1"/>
      <w:marLeft w:val="0"/>
      <w:marRight w:val="0"/>
      <w:marTop w:val="0"/>
      <w:marBottom w:val="0"/>
      <w:divBdr>
        <w:top w:val="none" w:sz="0" w:space="0" w:color="auto"/>
        <w:left w:val="none" w:sz="0" w:space="0" w:color="auto"/>
        <w:bottom w:val="none" w:sz="0" w:space="0" w:color="auto"/>
        <w:right w:val="none" w:sz="0" w:space="0" w:color="auto"/>
      </w:divBdr>
    </w:div>
    <w:div w:id="1544054892">
      <w:bodyDiv w:val="1"/>
      <w:marLeft w:val="0"/>
      <w:marRight w:val="0"/>
      <w:marTop w:val="0"/>
      <w:marBottom w:val="0"/>
      <w:divBdr>
        <w:top w:val="none" w:sz="0" w:space="0" w:color="auto"/>
        <w:left w:val="none" w:sz="0" w:space="0" w:color="auto"/>
        <w:bottom w:val="none" w:sz="0" w:space="0" w:color="auto"/>
        <w:right w:val="none" w:sz="0" w:space="0" w:color="auto"/>
      </w:divBdr>
    </w:div>
    <w:div w:id="1653027797">
      <w:bodyDiv w:val="1"/>
      <w:marLeft w:val="0"/>
      <w:marRight w:val="0"/>
      <w:marTop w:val="0"/>
      <w:marBottom w:val="0"/>
      <w:divBdr>
        <w:top w:val="none" w:sz="0" w:space="0" w:color="auto"/>
        <w:left w:val="none" w:sz="0" w:space="0" w:color="auto"/>
        <w:bottom w:val="none" w:sz="0" w:space="0" w:color="auto"/>
        <w:right w:val="none" w:sz="0" w:space="0" w:color="auto"/>
      </w:divBdr>
    </w:div>
    <w:div w:id="1752120977">
      <w:bodyDiv w:val="1"/>
      <w:marLeft w:val="0"/>
      <w:marRight w:val="0"/>
      <w:marTop w:val="0"/>
      <w:marBottom w:val="0"/>
      <w:divBdr>
        <w:top w:val="none" w:sz="0" w:space="0" w:color="auto"/>
        <w:left w:val="none" w:sz="0" w:space="0" w:color="auto"/>
        <w:bottom w:val="none" w:sz="0" w:space="0" w:color="auto"/>
        <w:right w:val="none" w:sz="0" w:space="0" w:color="auto"/>
      </w:divBdr>
    </w:div>
    <w:div w:id="1772897415">
      <w:bodyDiv w:val="1"/>
      <w:marLeft w:val="0"/>
      <w:marRight w:val="0"/>
      <w:marTop w:val="0"/>
      <w:marBottom w:val="0"/>
      <w:divBdr>
        <w:top w:val="none" w:sz="0" w:space="0" w:color="auto"/>
        <w:left w:val="none" w:sz="0" w:space="0" w:color="auto"/>
        <w:bottom w:val="none" w:sz="0" w:space="0" w:color="auto"/>
        <w:right w:val="none" w:sz="0" w:space="0" w:color="auto"/>
      </w:divBdr>
    </w:div>
    <w:div w:id="1871408482">
      <w:bodyDiv w:val="1"/>
      <w:marLeft w:val="0"/>
      <w:marRight w:val="0"/>
      <w:marTop w:val="0"/>
      <w:marBottom w:val="0"/>
      <w:divBdr>
        <w:top w:val="none" w:sz="0" w:space="0" w:color="auto"/>
        <w:left w:val="none" w:sz="0" w:space="0" w:color="auto"/>
        <w:bottom w:val="none" w:sz="0" w:space="0" w:color="auto"/>
        <w:right w:val="none" w:sz="0" w:space="0" w:color="auto"/>
      </w:divBdr>
    </w:div>
    <w:div w:id="209643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BaiduSyncdisk\&#22320;&#26041;&#26631;&#20934;&#35780;&#23457;\&#22320;&#26041;&#26631;&#20934;&#35780;&#23457;\1&#26376;\&#37325;&#28857;&#21270;&#24037;&#20225;&#19994;&#20840;&#27969;&#31243;&#33258;&#21160;&#21270;&#25511;&#21046;&#37197;&#22791;&#21644;&#25552;&#21319;&#35268;&#33539;&#65288;&#36865;&#23457;&#31295;&#65289;\&#20844;&#31034;&#31295;\&#12298;&#37325;&#28857;&#21270;&#24037;&#20225;&#19994;&#20840;&#27969;&#31243;&#33258;&#21160;&#21270;&#25511;&#21046;&#31995;&#32479;&#37197;&#22791;&#21644;&#25552;&#21319;&#35268;&#33539;&#12299;&#65288;&#25253;&#25209;&#31295;&#65289;\&#12298;&#37325;&#28857;&#21270;&#24037;&#20225;&#19994;&#20840;&#27969;&#31243;&#33258;&#21160;&#21270;&#25511;&#21046;&#37197;&#22791;&#21644;&#25552;&#21319;&#35268;&#33539;&#12299;%20&#65288;&#36865;&#23457;&#31295;&#65289;.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A451E4CCCFF4291A8E582DB5EE67F34"/>
        <w:category>
          <w:name w:val="常规"/>
          <w:gallery w:val="placeholder"/>
        </w:category>
        <w:types>
          <w:type w:val="bbPlcHdr"/>
        </w:types>
        <w:behaviors>
          <w:behavior w:val="content"/>
        </w:behaviors>
        <w:guid w:val="{5C83F746-A40E-4412-8B11-6D7BC8AA0E7B}"/>
      </w:docPartPr>
      <w:docPartBody>
        <w:p w:rsidR="00000000" w:rsidRDefault="00515A81">
          <w:pPr>
            <w:pStyle w:val="9A451E4CCCFF4291A8E582DB5EE67F34"/>
          </w:pPr>
          <w:r>
            <w:rPr>
              <w:rStyle w:val="a3"/>
              <w:rFonts w:hint="eastAsia"/>
            </w:rPr>
            <w:t>标准名称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markup="0"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A451E4CCCFF4291A8E582DB5EE67F34">
    <w:name w:val="9A451E4CCCFF4291A8E582DB5EE67F34"/>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A451E4CCCFF4291A8E582DB5EE67F34">
    <w:name w:val="9A451E4CCCFF4291A8E582DB5EE67F3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《重点化工企业全流程自动化控制配备和提升规范》 （送审稿）</Template>
  <TotalTime>2</TotalTime>
  <Pages>11</Pages>
  <Words>6589</Words>
  <Characters>2652</Characters>
  <Application>Microsoft Office Word</Application>
  <DocSecurity>0</DocSecurity>
  <Lines>22</Lines>
  <Paragraphs>18</Paragraphs>
  <ScaleCrop>false</ScaleCrop>
  <HeadingPairs>
    <vt:vector size="2" baseType="variant">
      <vt:variant>
        <vt:lpstr>Title</vt:lpstr>
      </vt:variant>
      <vt:variant>
        <vt:i4>1</vt:i4>
      </vt:variant>
    </vt:vector>
  </HeadingPairs>
  <TitlesOfParts>
    <vt:vector size="1" baseType="lpstr">
      <vt:lpstr>标准名称</vt:lpstr>
    </vt:vector>
  </TitlesOfParts>
  <Company>zle</Company>
  <LinksUpToDate>false</LinksUpToDate>
  <CharactersWithSpaces>9223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admin</dc:creator>
  <cp:lastModifiedBy>admin</cp:lastModifiedBy>
  <cp:revision>1</cp:revision>
  <cp:lastPrinted>2024-02-07T00:46:00Z</cp:lastPrinted>
  <dcterms:created xsi:type="dcterms:W3CDTF">2024-03-12T05:09:00Z</dcterms:created>
  <dcterms:modified xsi:type="dcterms:W3CDTF">2024-03-12T05:11:00Z</dcterms:modified>
</cp:coreProperties>
</file>